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E444" w14:textId="77777777" w:rsidR="00B47ECC" w:rsidRDefault="00B47ECC" w:rsidP="00C903A8">
      <w:pPr>
        <w:pStyle w:val="papertitle"/>
        <w:spacing w:after="0"/>
        <w:jc w:val="right"/>
        <w:rPr>
          <w:b/>
          <w:bCs/>
          <w:i/>
          <w:iCs/>
          <w:sz w:val="24"/>
          <w:szCs w:val="24"/>
        </w:rPr>
      </w:pPr>
    </w:p>
    <w:p w14:paraId="51FC58D8" w14:textId="43DD0E6C" w:rsidR="00041B5E" w:rsidRPr="00A40BF1" w:rsidRDefault="00A40BF1" w:rsidP="00C903A8">
      <w:pPr>
        <w:pStyle w:val="papertitle"/>
        <w:spacing w:after="0"/>
        <w:jc w:val="right"/>
        <w:rPr>
          <w:b/>
          <w:bCs/>
          <w:i/>
          <w:iCs/>
          <w:sz w:val="24"/>
          <w:szCs w:val="24"/>
          <w:lang w:val="es-ES"/>
        </w:rPr>
      </w:pPr>
      <w:hyperlink r:id="rId7" w:history="1">
        <w:r w:rsidRPr="00A40BF1">
          <w:rPr>
            <w:rStyle w:val="Hipervnculo"/>
            <w:b/>
            <w:bCs/>
            <w:i/>
            <w:iCs/>
            <w:color w:val="auto"/>
            <w:sz w:val="24"/>
            <w:szCs w:val="24"/>
            <w:u w:val="none"/>
          </w:rPr>
          <w:t>https://doi.org/</w:t>
        </w:r>
      </w:hyperlink>
      <w:r w:rsidR="00B47ECC" w:rsidRPr="00A40BF1">
        <w:rPr>
          <w:b/>
          <w:bCs/>
          <w:i/>
          <w:iCs/>
          <w:sz w:val="24"/>
          <w:szCs w:val="24"/>
        </w:rPr>
        <w:t>10.23913/ctes.v13i25.920</w:t>
      </w:r>
      <w:r w:rsidR="00041B5E" w:rsidRPr="00A40BF1">
        <w:rPr>
          <w:b/>
          <w:bCs/>
          <w:i/>
          <w:iCs/>
          <w:sz w:val="24"/>
          <w:szCs w:val="24"/>
          <w:lang w:eastAsia="es-MX"/>
        </w:rPr>
        <w:drawing>
          <wp:anchor distT="0" distB="0" distL="114300" distR="114300" simplePos="0" relativeHeight="251660288" behindDoc="1" locked="0" layoutInCell="1" allowOverlap="1" wp14:anchorId="75AB9BCE" wp14:editId="249530BA">
            <wp:simplePos x="0" y="0"/>
            <wp:positionH relativeFrom="page">
              <wp:posOffset>-66675</wp:posOffset>
            </wp:positionH>
            <wp:positionV relativeFrom="margin">
              <wp:posOffset>-1047750</wp:posOffset>
            </wp:positionV>
            <wp:extent cx="7839075" cy="1343025"/>
            <wp:effectExtent l="0" t="0" r="0" b="0"/>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693B8" w14:textId="77777777" w:rsidR="00041B5E" w:rsidRDefault="00041B5E" w:rsidP="00C903A8">
      <w:pPr>
        <w:pStyle w:val="papertitle"/>
        <w:spacing w:after="0"/>
        <w:jc w:val="right"/>
        <w:rPr>
          <w:b/>
          <w:bCs/>
          <w:sz w:val="28"/>
          <w:szCs w:val="28"/>
          <w:lang w:val="es-ES"/>
        </w:rPr>
      </w:pPr>
    </w:p>
    <w:p w14:paraId="06372DC5" w14:textId="77777777" w:rsidR="00041B5E" w:rsidRPr="005936AD" w:rsidRDefault="00041B5E" w:rsidP="00041B5E">
      <w:pPr>
        <w:tabs>
          <w:tab w:val="left" w:pos="3390"/>
        </w:tabs>
        <w:jc w:val="right"/>
        <w:rPr>
          <w:rFonts w:ascii="Times New Roman" w:hAnsi="Times New Roman" w:cs="Times New Roman"/>
          <w:b/>
          <w:bCs/>
          <w:i/>
          <w:iCs/>
        </w:rPr>
      </w:pPr>
      <w:proofErr w:type="spellStart"/>
      <w:r w:rsidRPr="005936AD">
        <w:rPr>
          <w:rFonts w:ascii="Times New Roman" w:hAnsi="Times New Roman" w:cs="Times New Roman"/>
          <w:b/>
          <w:bCs/>
          <w:i/>
          <w:iCs/>
        </w:rPr>
        <w:t>Artículos</w:t>
      </w:r>
      <w:proofErr w:type="spellEnd"/>
      <w:r w:rsidRPr="005936AD">
        <w:rPr>
          <w:rFonts w:ascii="Times New Roman" w:hAnsi="Times New Roman" w:cs="Times New Roman"/>
          <w:b/>
          <w:bCs/>
          <w:i/>
          <w:iCs/>
        </w:rPr>
        <w:t xml:space="preserve"> </w:t>
      </w:r>
      <w:proofErr w:type="spellStart"/>
      <w:r w:rsidRPr="005936AD">
        <w:rPr>
          <w:rFonts w:ascii="Times New Roman" w:hAnsi="Times New Roman" w:cs="Times New Roman"/>
          <w:b/>
          <w:bCs/>
          <w:i/>
          <w:iCs/>
        </w:rPr>
        <w:t>científicos</w:t>
      </w:r>
      <w:proofErr w:type="spellEnd"/>
    </w:p>
    <w:p w14:paraId="3B7702B6" w14:textId="77777777" w:rsidR="00041B5E" w:rsidRDefault="00041B5E" w:rsidP="00C903A8">
      <w:pPr>
        <w:pStyle w:val="papertitle"/>
        <w:spacing w:after="0"/>
        <w:jc w:val="right"/>
        <w:rPr>
          <w:b/>
          <w:bCs/>
          <w:sz w:val="28"/>
          <w:szCs w:val="28"/>
          <w:lang w:val="es-ES"/>
        </w:rPr>
      </w:pPr>
    </w:p>
    <w:p w14:paraId="1A2E9754" w14:textId="3AF5F88F" w:rsidR="00D825E1" w:rsidRPr="00C903A8" w:rsidRDefault="00A844AC" w:rsidP="00041B5E">
      <w:pPr>
        <w:pStyle w:val="papertitle"/>
        <w:spacing w:after="0"/>
        <w:jc w:val="left"/>
        <w:rPr>
          <w:b/>
          <w:bCs/>
          <w:sz w:val="28"/>
          <w:szCs w:val="28"/>
          <w:lang w:val="es-ES"/>
        </w:rPr>
      </w:pPr>
      <w:r w:rsidRPr="00C903A8">
        <w:rPr>
          <w:b/>
          <w:bCs/>
          <w:sz w:val="28"/>
          <w:szCs w:val="28"/>
          <w:lang w:val="es-ES"/>
        </w:rPr>
        <w:t xml:space="preserve">Factores </w:t>
      </w:r>
      <w:r w:rsidR="00D825E1" w:rsidRPr="00C903A8">
        <w:rPr>
          <w:b/>
          <w:bCs/>
          <w:sz w:val="28"/>
          <w:szCs w:val="28"/>
          <w:lang w:val="es-ES"/>
        </w:rPr>
        <w:t>asociados al</w:t>
      </w:r>
      <w:r w:rsidRPr="00C903A8">
        <w:rPr>
          <w:b/>
          <w:bCs/>
          <w:sz w:val="28"/>
          <w:szCs w:val="28"/>
          <w:lang w:val="es-ES"/>
        </w:rPr>
        <w:t xml:space="preserve"> abandono </w:t>
      </w:r>
      <w:r w:rsidR="00D825E1" w:rsidRPr="00C903A8">
        <w:rPr>
          <w:b/>
          <w:bCs/>
          <w:sz w:val="28"/>
          <w:szCs w:val="28"/>
          <w:lang w:val="es-ES"/>
        </w:rPr>
        <w:t>universitario</w:t>
      </w:r>
      <w:r w:rsidRPr="00C903A8">
        <w:rPr>
          <w:b/>
          <w:bCs/>
          <w:sz w:val="28"/>
          <w:szCs w:val="28"/>
          <w:lang w:val="es-ES"/>
        </w:rPr>
        <w:t xml:space="preserve">: </w:t>
      </w:r>
      <w:r w:rsidR="001C51DD" w:rsidRPr="00C903A8">
        <w:rPr>
          <w:b/>
          <w:bCs/>
          <w:sz w:val="28"/>
          <w:szCs w:val="28"/>
          <w:lang w:val="es-ES"/>
        </w:rPr>
        <w:t>estudio de c</w:t>
      </w:r>
      <w:r w:rsidR="00D825E1" w:rsidRPr="00C903A8">
        <w:rPr>
          <w:b/>
          <w:bCs/>
          <w:sz w:val="28"/>
          <w:szCs w:val="28"/>
          <w:lang w:val="es-ES"/>
        </w:rPr>
        <w:t xml:space="preserve">aso </w:t>
      </w:r>
      <w:r w:rsidR="001C51DD" w:rsidRPr="00C903A8">
        <w:rPr>
          <w:b/>
          <w:bCs/>
          <w:sz w:val="28"/>
          <w:szCs w:val="28"/>
          <w:lang w:val="es-ES"/>
        </w:rPr>
        <w:t>en</w:t>
      </w:r>
      <w:r w:rsidR="00D825E1" w:rsidRPr="00C903A8">
        <w:rPr>
          <w:b/>
          <w:bCs/>
          <w:sz w:val="28"/>
          <w:szCs w:val="28"/>
          <w:lang w:val="es-ES"/>
        </w:rPr>
        <w:t xml:space="preserve"> una Facultad de Contaduría y Administración en México</w:t>
      </w:r>
    </w:p>
    <w:p w14:paraId="45D95ADC" w14:textId="11A66F42" w:rsidR="001C51DD" w:rsidRPr="00041B5E" w:rsidRDefault="001C51DD" w:rsidP="00041B5E">
      <w:pPr>
        <w:pStyle w:val="papertitle"/>
        <w:spacing w:after="0"/>
        <w:jc w:val="left"/>
        <w:rPr>
          <w:i/>
          <w:iCs/>
          <w:sz w:val="24"/>
          <w:szCs w:val="24"/>
        </w:rPr>
      </w:pPr>
      <w:r w:rsidRPr="00041B5E">
        <w:rPr>
          <w:i/>
          <w:iCs/>
          <w:sz w:val="24"/>
          <w:szCs w:val="24"/>
        </w:rPr>
        <w:t>Factors associated with university dropout: a case study at a Faculty of Accounting and Administration in Mexico</w:t>
      </w:r>
    </w:p>
    <w:p w14:paraId="406260A9" w14:textId="572A8E94" w:rsidR="00E51011" w:rsidRPr="00C903A8" w:rsidRDefault="00E51011" w:rsidP="00C903A8">
      <w:pPr>
        <w:pStyle w:val="Author"/>
        <w:spacing w:before="0" w:after="0"/>
        <w:jc w:val="both"/>
        <w:rPr>
          <w:sz w:val="24"/>
          <w:szCs w:val="24"/>
        </w:rPr>
      </w:pPr>
    </w:p>
    <w:p w14:paraId="16ACB13D" w14:textId="77777777" w:rsidR="003A107F" w:rsidRPr="00C903A8" w:rsidRDefault="003A107F" w:rsidP="00C903A8">
      <w:pPr>
        <w:pStyle w:val="Author"/>
        <w:spacing w:before="0" w:after="0"/>
        <w:jc w:val="both"/>
        <w:rPr>
          <w:sz w:val="24"/>
          <w:szCs w:val="24"/>
        </w:rPr>
      </w:pPr>
    </w:p>
    <w:p w14:paraId="7C47D8B1" w14:textId="09E4D2F9" w:rsidR="00812649" w:rsidRPr="00C903A8" w:rsidRDefault="00812649" w:rsidP="00C903A8">
      <w:pPr>
        <w:pStyle w:val="Author"/>
        <w:spacing w:before="0" w:after="0"/>
        <w:jc w:val="right"/>
        <w:rPr>
          <w:b/>
          <w:bCs/>
          <w:sz w:val="24"/>
          <w:szCs w:val="24"/>
          <w:lang w:val="es-ES"/>
        </w:rPr>
      </w:pPr>
      <w:r w:rsidRPr="00C903A8">
        <w:rPr>
          <w:b/>
          <w:bCs/>
          <w:sz w:val="24"/>
          <w:szCs w:val="24"/>
          <w:lang w:val="es-ES"/>
        </w:rPr>
        <w:t>Yaimara Céspedes</w:t>
      </w:r>
      <w:r w:rsidR="00041B5E">
        <w:rPr>
          <w:b/>
          <w:bCs/>
          <w:sz w:val="24"/>
          <w:szCs w:val="24"/>
          <w:lang w:val="es-ES"/>
        </w:rPr>
        <w:t xml:space="preserve"> </w:t>
      </w:r>
      <w:r w:rsidRPr="00C903A8">
        <w:rPr>
          <w:b/>
          <w:bCs/>
          <w:sz w:val="24"/>
          <w:szCs w:val="24"/>
          <w:lang w:val="es-ES"/>
        </w:rPr>
        <w:t xml:space="preserve">González </w:t>
      </w:r>
    </w:p>
    <w:p w14:paraId="6B50FE80" w14:textId="77777777" w:rsidR="00812649" w:rsidRPr="00C903A8" w:rsidRDefault="00812649" w:rsidP="00C903A8">
      <w:pPr>
        <w:pStyle w:val="Affiliation"/>
        <w:jc w:val="right"/>
        <w:rPr>
          <w:sz w:val="24"/>
          <w:szCs w:val="24"/>
          <w:lang w:val="es-ES"/>
        </w:rPr>
      </w:pPr>
      <w:r w:rsidRPr="00C903A8">
        <w:rPr>
          <w:sz w:val="24"/>
          <w:szCs w:val="24"/>
          <w:lang w:val="es-ES"/>
        </w:rPr>
        <w:t>Universidad Veracruzana</w:t>
      </w:r>
    </w:p>
    <w:p w14:paraId="73CF8C57" w14:textId="770495C5" w:rsidR="00812649" w:rsidRPr="00041B5E" w:rsidRDefault="000B5541" w:rsidP="00C903A8">
      <w:pPr>
        <w:pStyle w:val="Affiliation"/>
        <w:jc w:val="right"/>
        <w:rPr>
          <w:color w:val="FF0000"/>
          <w:sz w:val="24"/>
          <w:szCs w:val="24"/>
          <w:lang w:val="es-ES"/>
        </w:rPr>
      </w:pPr>
      <w:r w:rsidRPr="00041B5E">
        <w:rPr>
          <w:color w:val="FF0000"/>
          <w:sz w:val="24"/>
          <w:szCs w:val="24"/>
          <w:lang w:val="es-ES"/>
        </w:rPr>
        <w:t>yaimara.cespedes</w:t>
      </w:r>
      <w:r w:rsidR="00E51011" w:rsidRPr="00041B5E">
        <w:rPr>
          <w:color w:val="FF0000"/>
          <w:sz w:val="24"/>
          <w:szCs w:val="24"/>
          <w:lang w:val="es-ES"/>
        </w:rPr>
        <w:t>@</w:t>
      </w:r>
      <w:r w:rsidRPr="00041B5E">
        <w:rPr>
          <w:color w:val="FF0000"/>
          <w:sz w:val="24"/>
          <w:szCs w:val="24"/>
          <w:lang w:val="es-ES"/>
        </w:rPr>
        <w:t>gmail.com</w:t>
      </w:r>
    </w:p>
    <w:p w14:paraId="75B26577" w14:textId="0703AFC8" w:rsidR="00E51011" w:rsidRPr="00C903A8" w:rsidRDefault="00E51011" w:rsidP="00C903A8">
      <w:pPr>
        <w:pStyle w:val="Affiliation"/>
        <w:jc w:val="right"/>
        <w:rPr>
          <w:i/>
          <w:iCs/>
          <w:sz w:val="24"/>
          <w:szCs w:val="24"/>
          <w:lang w:val="es-ES"/>
        </w:rPr>
      </w:pPr>
      <w:r w:rsidRPr="00C903A8">
        <w:rPr>
          <w:sz w:val="24"/>
          <w:szCs w:val="24"/>
          <w:lang w:val="es-ES"/>
        </w:rPr>
        <w:t>https://orcid</w:t>
      </w:r>
      <w:r w:rsidR="00617E33" w:rsidRPr="00C903A8">
        <w:rPr>
          <w:sz w:val="24"/>
          <w:szCs w:val="24"/>
          <w:lang w:val="es-ES"/>
        </w:rPr>
        <w:t>.org/0000-0001-7802-3219</w:t>
      </w:r>
    </w:p>
    <w:p w14:paraId="5D3095E8" w14:textId="77777777" w:rsidR="00E51011" w:rsidRPr="00C903A8" w:rsidRDefault="00E51011" w:rsidP="00C903A8">
      <w:pPr>
        <w:pStyle w:val="papertitle"/>
        <w:spacing w:after="0"/>
        <w:jc w:val="right"/>
        <w:rPr>
          <w:rFonts w:eastAsia="SimSun"/>
          <w:i/>
          <w:iCs/>
          <w:noProof w:val="0"/>
          <w:sz w:val="24"/>
          <w:szCs w:val="24"/>
          <w:lang w:val="es-ES"/>
        </w:rPr>
      </w:pPr>
    </w:p>
    <w:p w14:paraId="6E5F3EAE" w14:textId="7D706DC8" w:rsidR="00E51011" w:rsidRPr="00C903A8" w:rsidRDefault="00E51011" w:rsidP="00C903A8">
      <w:pPr>
        <w:pStyle w:val="Author"/>
        <w:spacing w:before="0" w:after="0"/>
        <w:jc w:val="right"/>
        <w:rPr>
          <w:b/>
          <w:bCs/>
          <w:sz w:val="24"/>
          <w:szCs w:val="24"/>
          <w:lang w:val="es-ES"/>
        </w:rPr>
      </w:pPr>
      <w:r w:rsidRPr="00C903A8">
        <w:rPr>
          <w:b/>
          <w:bCs/>
          <w:sz w:val="24"/>
          <w:szCs w:val="24"/>
          <w:lang w:val="es-ES"/>
        </w:rPr>
        <w:t>Alma Delia Otero Escobar</w:t>
      </w:r>
    </w:p>
    <w:p w14:paraId="56F49212" w14:textId="77777777" w:rsidR="00E51011" w:rsidRPr="00C903A8" w:rsidRDefault="00E51011" w:rsidP="00C903A8">
      <w:pPr>
        <w:pStyle w:val="Affiliation"/>
        <w:jc w:val="right"/>
        <w:rPr>
          <w:sz w:val="24"/>
          <w:szCs w:val="24"/>
          <w:lang w:val="es-ES"/>
        </w:rPr>
      </w:pPr>
      <w:r w:rsidRPr="00C903A8">
        <w:rPr>
          <w:sz w:val="24"/>
          <w:szCs w:val="24"/>
          <w:lang w:val="es-ES"/>
        </w:rPr>
        <w:t>Universidad Veracruzana</w:t>
      </w:r>
    </w:p>
    <w:p w14:paraId="024899B1" w14:textId="433AA743" w:rsidR="00E51011" w:rsidRPr="00041B5E" w:rsidRDefault="00E51011" w:rsidP="00C903A8">
      <w:pPr>
        <w:pStyle w:val="papertitle"/>
        <w:spacing w:after="0"/>
        <w:jc w:val="right"/>
        <w:rPr>
          <w:rFonts w:eastAsia="SimSun"/>
          <w:noProof w:val="0"/>
          <w:color w:val="FF0000"/>
          <w:sz w:val="24"/>
          <w:szCs w:val="24"/>
          <w:lang w:val="es-ES"/>
        </w:rPr>
      </w:pPr>
      <w:r w:rsidRPr="00041B5E">
        <w:rPr>
          <w:rFonts w:eastAsia="SimSun"/>
          <w:noProof w:val="0"/>
          <w:color w:val="FF0000"/>
          <w:sz w:val="24"/>
          <w:szCs w:val="24"/>
          <w:lang w:val="es-ES"/>
        </w:rPr>
        <w:t>aotero@uv.mx</w:t>
      </w:r>
    </w:p>
    <w:p w14:paraId="3A7355DE" w14:textId="2368CFC3" w:rsidR="00041B5E" w:rsidRPr="00041B5E" w:rsidRDefault="00041B5E" w:rsidP="00041B5E">
      <w:pPr>
        <w:pStyle w:val="Affiliation"/>
        <w:jc w:val="right"/>
        <w:rPr>
          <w:sz w:val="24"/>
          <w:szCs w:val="24"/>
          <w:lang w:val="es-ES"/>
        </w:rPr>
      </w:pPr>
      <w:hyperlink r:id="rId9" w:history="1">
        <w:r w:rsidRPr="00041B5E">
          <w:rPr>
            <w:rStyle w:val="Hipervnculo"/>
            <w:color w:val="auto"/>
            <w:sz w:val="24"/>
            <w:szCs w:val="24"/>
            <w:u w:val="none"/>
            <w:lang w:val="es-ES"/>
          </w:rPr>
          <w:t>https://orcid.org/0000-0001-9266-6587</w:t>
        </w:r>
      </w:hyperlink>
    </w:p>
    <w:p w14:paraId="5913D5D2" w14:textId="77777777" w:rsidR="00041B5E" w:rsidRPr="00C903A8" w:rsidRDefault="00041B5E" w:rsidP="00041B5E">
      <w:pPr>
        <w:pStyle w:val="Affiliation"/>
        <w:jc w:val="right"/>
        <w:rPr>
          <w:b/>
          <w:bCs/>
          <w:sz w:val="28"/>
          <w:szCs w:val="28"/>
          <w:lang w:val="es-ES"/>
        </w:rPr>
      </w:pPr>
    </w:p>
    <w:p w14:paraId="63B93CF6" w14:textId="77777777" w:rsidR="00041B5E" w:rsidRDefault="00041B5E" w:rsidP="00041B5E">
      <w:pPr>
        <w:rPr>
          <w:rFonts w:ascii="Times New Roman" w:hAnsi="Times New Roman" w:cs="Times New Roman"/>
          <w:b/>
          <w:bCs/>
          <w:lang w:val="es-ES"/>
        </w:rPr>
      </w:pPr>
    </w:p>
    <w:p w14:paraId="4F6CD378" w14:textId="7FD9DB26" w:rsidR="0064437E" w:rsidRPr="00041B5E" w:rsidRDefault="00E51011" w:rsidP="00041B5E">
      <w:pPr>
        <w:rPr>
          <w:rFonts w:ascii="Times New Roman" w:hAnsi="Times New Roman" w:cs="Times New Roman"/>
          <w:b/>
          <w:bCs/>
          <w:lang w:val="es-ES"/>
        </w:rPr>
      </w:pPr>
      <w:r w:rsidRPr="00041B5E">
        <w:rPr>
          <w:rFonts w:ascii="Times New Roman" w:hAnsi="Times New Roman" w:cs="Times New Roman"/>
          <w:b/>
          <w:bCs/>
          <w:lang w:val="es-ES"/>
        </w:rPr>
        <w:t>Resumen</w:t>
      </w:r>
    </w:p>
    <w:p w14:paraId="306BC5D0" w14:textId="64E9A5B2" w:rsidR="0098453C" w:rsidRPr="00C903A8" w:rsidRDefault="0098453C" w:rsidP="00C903A8">
      <w:pPr>
        <w:jc w:val="both"/>
        <w:rPr>
          <w:rFonts w:ascii="Times New Roman" w:hAnsi="Times New Roman" w:cs="Times New Roman"/>
          <w:lang w:val="es-ES"/>
        </w:rPr>
      </w:pPr>
      <w:r w:rsidRPr="00C903A8">
        <w:rPr>
          <w:rFonts w:ascii="Times New Roman" w:hAnsi="Times New Roman" w:cs="Times New Roman"/>
          <w:lang w:val="es-ES"/>
        </w:rPr>
        <w:t xml:space="preserve">El abandono universitario es un problema complejo que afecta significativamente al sistema educativo, la economía del país y el desarrollo profesional de los jóvenes. El objetivo de este trabajo de investigación es describir la clasificación de los factores que inciden en el abandono universitario. Estos factores se identificaron en cuatro programas educativos de </w:t>
      </w:r>
      <w:r w:rsidR="00FD0824" w:rsidRPr="00C903A8">
        <w:rPr>
          <w:rFonts w:ascii="Times New Roman" w:hAnsi="Times New Roman" w:cs="Times New Roman"/>
          <w:lang w:val="es-ES"/>
        </w:rPr>
        <w:t>una</w:t>
      </w:r>
      <w:r w:rsidRPr="00C903A8">
        <w:rPr>
          <w:rFonts w:ascii="Times New Roman" w:hAnsi="Times New Roman" w:cs="Times New Roman"/>
          <w:lang w:val="es-ES"/>
        </w:rPr>
        <w:t xml:space="preserve"> Facultad de Contaduría y Administración (Administración, Contabilidad, Sistemas </w:t>
      </w:r>
      <w:r w:rsidR="00DE5374" w:rsidRPr="00C903A8">
        <w:rPr>
          <w:rFonts w:ascii="Times New Roman" w:hAnsi="Times New Roman" w:cs="Times New Roman"/>
          <w:lang w:val="es-ES"/>
        </w:rPr>
        <w:t>Computacionales</w:t>
      </w:r>
      <w:r w:rsidRPr="00C903A8">
        <w:rPr>
          <w:rFonts w:ascii="Times New Roman" w:hAnsi="Times New Roman" w:cs="Times New Roman"/>
          <w:lang w:val="es-ES"/>
        </w:rPr>
        <w:t xml:space="preserve"> Administrativos, y Gestión y Dirección de Empresas) en una universidad pública en México. </w:t>
      </w:r>
      <w:r w:rsidR="00DE5374" w:rsidRPr="00C903A8">
        <w:rPr>
          <w:rFonts w:ascii="Times New Roman" w:hAnsi="Times New Roman" w:cs="Times New Roman"/>
          <w:lang w:val="es-ES"/>
        </w:rPr>
        <w:t>Para el análisis, se utilizaron datos recopilados de encuestas realizadas a 1018 estudiantes universitarios y dos algoritmos de aprendizaje automático (árbol de decisión y bosque aleatorio) para clasificar los datos sobre el abandono universitario.</w:t>
      </w:r>
      <w:r w:rsidR="00FD0824" w:rsidRPr="00C903A8">
        <w:rPr>
          <w:rFonts w:ascii="Times New Roman" w:hAnsi="Times New Roman" w:cs="Times New Roman"/>
          <w:lang w:val="es-ES"/>
        </w:rPr>
        <w:t xml:space="preserve"> </w:t>
      </w:r>
      <w:r w:rsidRPr="00C903A8">
        <w:rPr>
          <w:rFonts w:ascii="Times New Roman" w:hAnsi="Times New Roman" w:cs="Times New Roman"/>
          <w:lang w:val="es-ES"/>
        </w:rPr>
        <w:t xml:space="preserve">Los resultados obtenidos muestran que las dificultades </w:t>
      </w:r>
      <w:r w:rsidR="00FD0824" w:rsidRPr="00C903A8">
        <w:rPr>
          <w:rFonts w:ascii="Times New Roman" w:hAnsi="Times New Roman" w:cs="Times New Roman"/>
          <w:lang w:val="es-ES"/>
        </w:rPr>
        <w:t>económicas</w:t>
      </w:r>
      <w:r w:rsidRPr="00C903A8">
        <w:rPr>
          <w:rFonts w:ascii="Times New Roman" w:hAnsi="Times New Roman" w:cs="Times New Roman"/>
          <w:lang w:val="es-ES"/>
        </w:rPr>
        <w:t xml:space="preserve"> de los alumnos, los problemas familiares, la falta de acceso a programas de apoyo y las limitaciones de tiempo para el trabajo y el estudio son factores importantes que contribuyen </w:t>
      </w:r>
      <w:r w:rsidR="00FD0824" w:rsidRPr="00C903A8">
        <w:rPr>
          <w:rFonts w:ascii="Times New Roman" w:hAnsi="Times New Roman" w:cs="Times New Roman"/>
          <w:lang w:val="es-ES"/>
        </w:rPr>
        <w:t>en el</w:t>
      </w:r>
      <w:r w:rsidRPr="00C903A8">
        <w:rPr>
          <w:rFonts w:ascii="Times New Roman" w:hAnsi="Times New Roman" w:cs="Times New Roman"/>
          <w:lang w:val="es-ES"/>
        </w:rPr>
        <w:t xml:space="preserve"> abandono</w:t>
      </w:r>
      <w:r w:rsidR="00FD0824" w:rsidRPr="00C903A8">
        <w:rPr>
          <w:rFonts w:ascii="Times New Roman" w:hAnsi="Times New Roman" w:cs="Times New Roman"/>
          <w:lang w:val="es-ES"/>
        </w:rPr>
        <w:t xml:space="preserve"> universitario</w:t>
      </w:r>
      <w:r w:rsidRPr="00C903A8">
        <w:rPr>
          <w:rFonts w:ascii="Times New Roman" w:hAnsi="Times New Roman" w:cs="Times New Roman"/>
          <w:lang w:val="es-ES"/>
        </w:rPr>
        <w:t>. Lo anterior se relaciona con diversos gastos, como transporte, colegiaturas, materiales educativos, alimentación, ropa, renta y otros. Por lo tanto, es necesaria la atención y prevención, atendiendo a sus causas, dado que la situación económica del estudiante incrementa el riesgo de no concluir sus estudios universitarios, lo que limitaría sus opciones laborales y aumentaría el riesgo de desempleo.</w:t>
      </w:r>
    </w:p>
    <w:p w14:paraId="2EED9B38" w14:textId="77777777" w:rsidR="00041B5E" w:rsidRDefault="00041B5E" w:rsidP="00C903A8">
      <w:pPr>
        <w:jc w:val="both"/>
        <w:rPr>
          <w:rFonts w:ascii="Times New Roman" w:hAnsi="Times New Roman" w:cs="Times New Roman"/>
          <w:b/>
          <w:bCs/>
          <w:lang w:val="es-MX"/>
        </w:rPr>
      </w:pPr>
    </w:p>
    <w:p w14:paraId="34DD7F5C" w14:textId="54648275" w:rsidR="0098453C" w:rsidRPr="00C903A8" w:rsidRDefault="0098453C" w:rsidP="00C903A8">
      <w:pPr>
        <w:jc w:val="both"/>
        <w:rPr>
          <w:rFonts w:ascii="Times New Roman" w:hAnsi="Times New Roman" w:cs="Times New Roman"/>
          <w:lang w:val="es-MX"/>
        </w:rPr>
      </w:pPr>
      <w:r w:rsidRPr="00C903A8">
        <w:rPr>
          <w:rFonts w:ascii="Times New Roman" w:hAnsi="Times New Roman" w:cs="Times New Roman"/>
          <w:b/>
          <w:bCs/>
          <w:lang w:val="es-MX"/>
        </w:rPr>
        <w:t xml:space="preserve">Palabras claves: </w:t>
      </w:r>
      <w:r w:rsidRPr="00C903A8">
        <w:rPr>
          <w:rFonts w:ascii="Times New Roman" w:hAnsi="Times New Roman" w:cs="Times New Roman"/>
          <w:lang w:val="es-MX"/>
        </w:rPr>
        <w:t xml:space="preserve">Abandono universitario, aprendizaje automático, </w:t>
      </w:r>
      <w:r w:rsidR="00CA0FB3" w:rsidRPr="00C903A8">
        <w:rPr>
          <w:rFonts w:ascii="Times New Roman" w:hAnsi="Times New Roman" w:cs="Times New Roman"/>
          <w:lang w:val="es-MX"/>
        </w:rPr>
        <w:t xml:space="preserve">educación superior, factores socioeconómicos, </w:t>
      </w:r>
      <w:r w:rsidRPr="00C903A8">
        <w:rPr>
          <w:rFonts w:ascii="Times New Roman" w:hAnsi="Times New Roman" w:cs="Times New Roman"/>
          <w:lang w:val="es-MX"/>
        </w:rPr>
        <w:t>minería de datos.</w:t>
      </w:r>
    </w:p>
    <w:p w14:paraId="21572CCC" w14:textId="77777777" w:rsidR="008874B1" w:rsidRPr="00C903A8" w:rsidRDefault="008874B1" w:rsidP="00C903A8">
      <w:pPr>
        <w:jc w:val="both"/>
        <w:rPr>
          <w:rFonts w:ascii="Times New Roman" w:hAnsi="Times New Roman" w:cs="Times New Roman"/>
          <w:lang w:val="es-MX"/>
        </w:rPr>
      </w:pPr>
    </w:p>
    <w:p w14:paraId="47E67109" w14:textId="0EF6200B" w:rsidR="008874B1" w:rsidRPr="00C903A8" w:rsidRDefault="00041B5E" w:rsidP="00C903A8">
      <w:pPr>
        <w:jc w:val="both"/>
        <w:rPr>
          <w:rFonts w:ascii="Times New Roman" w:hAnsi="Times New Roman" w:cs="Times New Roman"/>
          <w:b/>
          <w:bCs/>
          <w:sz w:val="28"/>
          <w:szCs w:val="28"/>
        </w:rPr>
      </w:pPr>
      <w:r w:rsidRPr="00C903A8">
        <w:rPr>
          <w:rFonts w:ascii="Times New Roman" w:hAnsi="Times New Roman" w:cs="Times New Roman"/>
          <w:b/>
          <w:bCs/>
          <w:sz w:val="28"/>
          <w:szCs w:val="28"/>
        </w:rPr>
        <w:t>abstract</w:t>
      </w:r>
    </w:p>
    <w:p w14:paraId="1C881D46" w14:textId="517DCB21" w:rsidR="00B820F3" w:rsidRPr="00C903A8" w:rsidRDefault="00B820F3" w:rsidP="00C903A8">
      <w:pPr>
        <w:jc w:val="both"/>
        <w:rPr>
          <w:rFonts w:ascii="Times New Roman" w:hAnsi="Times New Roman" w:cs="Times New Roman"/>
        </w:rPr>
      </w:pPr>
      <w:r w:rsidRPr="00C903A8">
        <w:rPr>
          <w:rFonts w:ascii="Times New Roman" w:hAnsi="Times New Roman" w:cs="Times New Roman"/>
        </w:rPr>
        <w:lastRenderedPageBreak/>
        <w:t xml:space="preserve">University dropout is a complex problem that significantly affects the education system, the country's economy, and the professional development of young people. </w:t>
      </w:r>
      <w:r w:rsidR="001D1507" w:rsidRPr="00C903A8">
        <w:rPr>
          <w:rFonts w:ascii="Times New Roman" w:hAnsi="Times New Roman" w:cs="Times New Roman"/>
        </w:rPr>
        <w:t>The aim of this study is to classify the factors associated with university dropout</w:t>
      </w:r>
      <w:r w:rsidRPr="00C903A8">
        <w:rPr>
          <w:rFonts w:ascii="Times New Roman" w:hAnsi="Times New Roman" w:cs="Times New Roman"/>
        </w:rPr>
        <w:t xml:space="preserve">. These factors were identified in four academic programs at a Faculty of Accounting and Administration (Administration, Accounting, Administrative Computer Systems, and Business Management) at a public university in Mexico. For the analysis, data collected from surveys of 1018 university students were used, along with two machine learning algorithms (decision tree and random forest) to classify the data on university dropout. The results show that students' economic difficulties, family problems, lack of access to support programs, and time constraints for work and study are important factors contributing to university dropout. These factors are related to various expenses, such as transportation, tuition, educational materials, food, clothing, rent, and </w:t>
      </w:r>
      <w:r w:rsidR="001D1507" w:rsidRPr="00C903A8">
        <w:rPr>
          <w:rFonts w:ascii="Times New Roman" w:hAnsi="Times New Roman" w:cs="Times New Roman"/>
        </w:rPr>
        <w:t xml:space="preserve">among </w:t>
      </w:r>
      <w:r w:rsidRPr="00C903A8">
        <w:rPr>
          <w:rFonts w:ascii="Times New Roman" w:hAnsi="Times New Roman" w:cs="Times New Roman"/>
        </w:rPr>
        <w:t>others. Therefore, attention and prevention are necessary, addressing its causes, since the student's economic situation increases the risk of not completing their university studies, which would limit their job options and increase the risk of unemployment.</w:t>
      </w:r>
    </w:p>
    <w:p w14:paraId="0259119D" w14:textId="77777777" w:rsidR="00041B5E" w:rsidRDefault="00041B5E" w:rsidP="00C903A8">
      <w:pPr>
        <w:jc w:val="both"/>
        <w:rPr>
          <w:rFonts w:ascii="Times New Roman" w:hAnsi="Times New Roman" w:cs="Times New Roman"/>
          <w:b/>
          <w:bCs/>
        </w:rPr>
      </w:pPr>
    </w:p>
    <w:p w14:paraId="3F58BB69" w14:textId="6C688F94" w:rsidR="008874B1" w:rsidRPr="00C903A8" w:rsidRDefault="008874B1" w:rsidP="00C903A8">
      <w:pPr>
        <w:jc w:val="both"/>
        <w:rPr>
          <w:rFonts w:ascii="Times New Roman" w:hAnsi="Times New Roman" w:cs="Times New Roman"/>
        </w:rPr>
      </w:pPr>
      <w:r w:rsidRPr="00C903A8">
        <w:rPr>
          <w:rFonts w:ascii="Times New Roman" w:hAnsi="Times New Roman" w:cs="Times New Roman"/>
          <w:b/>
          <w:bCs/>
        </w:rPr>
        <w:t>Keywords:</w:t>
      </w:r>
      <w:r w:rsidR="00196862" w:rsidRPr="00C903A8">
        <w:rPr>
          <w:rFonts w:ascii="Times New Roman" w:hAnsi="Times New Roman" w:cs="Times New Roman"/>
        </w:rPr>
        <w:t xml:space="preserve"> </w:t>
      </w:r>
      <w:r w:rsidR="0027194E" w:rsidRPr="00C903A8">
        <w:rPr>
          <w:rFonts w:ascii="Times New Roman" w:hAnsi="Times New Roman" w:cs="Times New Roman"/>
        </w:rPr>
        <w:t>Data mining, higher education, machine learning, u</w:t>
      </w:r>
      <w:r w:rsidR="00FD0824" w:rsidRPr="00C903A8">
        <w:rPr>
          <w:rFonts w:ascii="Times New Roman" w:hAnsi="Times New Roman" w:cs="Times New Roman"/>
        </w:rPr>
        <w:t>niversity dropout, socioeconomic factors.</w:t>
      </w:r>
    </w:p>
    <w:p w14:paraId="3C4D2459" w14:textId="77777777" w:rsidR="00895696" w:rsidRPr="00C903A8" w:rsidRDefault="00895696" w:rsidP="00C903A8">
      <w:pPr>
        <w:jc w:val="both"/>
        <w:rPr>
          <w:rFonts w:ascii="Times New Roman" w:hAnsi="Times New Roman" w:cs="Times New Roman"/>
        </w:rPr>
      </w:pPr>
    </w:p>
    <w:p w14:paraId="7F468FDF" w14:textId="2C9A7F3F" w:rsidR="00895696" w:rsidRDefault="00895696" w:rsidP="00C903A8">
      <w:pPr>
        <w:jc w:val="center"/>
        <w:rPr>
          <w:rFonts w:ascii="Times New Roman" w:hAnsi="Times New Roman" w:cs="Times New Roman"/>
          <w:b/>
          <w:bCs/>
          <w:lang w:val="es-ES"/>
        </w:rPr>
      </w:pPr>
      <w:r w:rsidRPr="00041B5E">
        <w:rPr>
          <w:rFonts w:ascii="Times New Roman" w:hAnsi="Times New Roman" w:cs="Times New Roman"/>
          <w:b/>
          <w:bCs/>
          <w:lang w:val="es-ES"/>
        </w:rPr>
        <w:t>Introducción</w:t>
      </w:r>
    </w:p>
    <w:p w14:paraId="5316F56B" w14:textId="77777777" w:rsidR="00041B5E" w:rsidRPr="00041B5E" w:rsidRDefault="00041B5E" w:rsidP="00C903A8">
      <w:pPr>
        <w:jc w:val="center"/>
        <w:rPr>
          <w:rFonts w:ascii="Times New Roman" w:hAnsi="Times New Roman" w:cs="Times New Roman"/>
          <w:b/>
          <w:bCs/>
          <w:lang w:val="es-ES"/>
        </w:rPr>
      </w:pPr>
    </w:p>
    <w:p w14:paraId="47BD1132" w14:textId="6D5D640C" w:rsidR="00B804E7" w:rsidRPr="00C903A8" w:rsidRDefault="00B804E7" w:rsidP="00041B5E">
      <w:pPr>
        <w:jc w:val="both"/>
        <w:rPr>
          <w:rFonts w:ascii="Times New Roman" w:hAnsi="Times New Roman" w:cs="Times New Roman"/>
          <w:lang w:val="es-ES"/>
        </w:rPr>
      </w:pPr>
      <w:r w:rsidRPr="00C903A8">
        <w:rPr>
          <w:rFonts w:ascii="Times New Roman" w:hAnsi="Times New Roman" w:cs="Times New Roman"/>
          <w:lang w:val="es-ES"/>
        </w:rPr>
        <w:t>En México</w:t>
      </w:r>
      <w:r w:rsidR="00935BDF" w:rsidRPr="00C903A8">
        <w:rPr>
          <w:rFonts w:ascii="Times New Roman" w:hAnsi="Times New Roman" w:cs="Times New Roman"/>
          <w:lang w:val="es-ES"/>
        </w:rPr>
        <w:t xml:space="preserve">, el abandono universitario es una problemática crítica que afecta el desarrollo económico, debilita el sistema de enseñanza y limita las oportunidades profesionales de los jóvenes. </w:t>
      </w:r>
      <w:r w:rsidRPr="00C903A8">
        <w:rPr>
          <w:rFonts w:ascii="Times New Roman" w:hAnsi="Times New Roman" w:cs="Times New Roman"/>
          <w:lang w:val="es-ES"/>
        </w:rPr>
        <w:t xml:space="preserve">Según datos del Instituto Nacional de Estadística y Geografía (INEGI), la tasa de </w:t>
      </w:r>
      <w:r w:rsidR="00A26AE8" w:rsidRPr="00C903A8">
        <w:rPr>
          <w:rFonts w:ascii="Times New Roman" w:hAnsi="Times New Roman" w:cs="Times New Roman"/>
          <w:lang w:val="es-ES"/>
        </w:rPr>
        <w:t>abandono</w:t>
      </w:r>
      <w:r w:rsidRPr="00C903A8">
        <w:rPr>
          <w:rFonts w:ascii="Times New Roman" w:hAnsi="Times New Roman" w:cs="Times New Roman"/>
          <w:lang w:val="es-ES"/>
        </w:rPr>
        <w:t xml:space="preserve"> en la educación superior en México para el periodo académico 2023-2024 </w:t>
      </w:r>
      <w:r w:rsidR="00406AE2" w:rsidRPr="00C903A8">
        <w:rPr>
          <w:rFonts w:ascii="Times New Roman" w:hAnsi="Times New Roman" w:cs="Times New Roman"/>
          <w:lang w:val="es-ES"/>
        </w:rPr>
        <w:t>registró una tasa promedio nacional</w:t>
      </w:r>
      <w:r w:rsidRPr="00C903A8">
        <w:rPr>
          <w:rFonts w:ascii="Times New Roman" w:hAnsi="Times New Roman" w:cs="Times New Roman"/>
          <w:lang w:val="es-ES"/>
        </w:rPr>
        <w:t xml:space="preserve"> de 5.7%</w:t>
      </w:r>
      <w:r w:rsidR="00062185" w:rsidRPr="00C903A8">
        <w:rPr>
          <w:rFonts w:ascii="Times New Roman" w:hAnsi="Times New Roman" w:cs="Times New Roman"/>
          <w:lang w:val="es-ES"/>
        </w:rPr>
        <w:t xml:space="preserve"> (INEGI, 202</w:t>
      </w:r>
      <w:r w:rsidR="00A864DE" w:rsidRPr="00C903A8">
        <w:rPr>
          <w:rFonts w:ascii="Times New Roman" w:hAnsi="Times New Roman" w:cs="Times New Roman"/>
          <w:lang w:val="es-ES"/>
        </w:rPr>
        <w:t>4</w:t>
      </w:r>
      <w:r w:rsidR="00062185" w:rsidRPr="00C903A8">
        <w:rPr>
          <w:rFonts w:ascii="Times New Roman" w:hAnsi="Times New Roman" w:cs="Times New Roman"/>
          <w:lang w:val="es-ES"/>
        </w:rPr>
        <w:t>)</w:t>
      </w:r>
      <w:r w:rsidRPr="00C903A8">
        <w:rPr>
          <w:rFonts w:ascii="Times New Roman" w:hAnsi="Times New Roman" w:cs="Times New Roman"/>
          <w:lang w:val="es-ES"/>
        </w:rPr>
        <w:t xml:space="preserve">. Sin embargo, existen variaciones significativas entre estados; por ejemplo, Veracruz tiene una tasa de </w:t>
      </w:r>
      <w:r w:rsidR="00A26AE8" w:rsidRPr="00C903A8">
        <w:rPr>
          <w:rFonts w:ascii="Times New Roman" w:hAnsi="Times New Roman" w:cs="Times New Roman"/>
          <w:lang w:val="es-ES"/>
        </w:rPr>
        <w:t>abandono</w:t>
      </w:r>
      <w:r w:rsidRPr="00C903A8">
        <w:rPr>
          <w:rFonts w:ascii="Times New Roman" w:hAnsi="Times New Roman" w:cs="Times New Roman"/>
          <w:lang w:val="es-ES"/>
        </w:rPr>
        <w:t xml:space="preserve"> del 10.8%, una de las más altas del país.</w:t>
      </w:r>
    </w:p>
    <w:p w14:paraId="1DD17BC1" w14:textId="77777777" w:rsidR="00041B5E" w:rsidRDefault="00041B5E" w:rsidP="00041B5E">
      <w:pPr>
        <w:jc w:val="both"/>
        <w:rPr>
          <w:rFonts w:ascii="Times New Roman" w:hAnsi="Times New Roman" w:cs="Times New Roman"/>
          <w:lang w:val="es-ES"/>
        </w:rPr>
      </w:pPr>
    </w:p>
    <w:p w14:paraId="4F91B30D" w14:textId="2E05566E" w:rsidR="00062185" w:rsidRDefault="00062185" w:rsidP="00041B5E">
      <w:pPr>
        <w:jc w:val="both"/>
        <w:rPr>
          <w:rFonts w:ascii="Times New Roman" w:hAnsi="Times New Roman" w:cs="Times New Roman"/>
          <w:lang w:val="es-ES"/>
        </w:rPr>
      </w:pPr>
      <w:r w:rsidRPr="00C903A8">
        <w:rPr>
          <w:rFonts w:ascii="Times New Roman" w:hAnsi="Times New Roman" w:cs="Times New Roman"/>
          <w:lang w:val="es-ES"/>
        </w:rPr>
        <w:t>Est</w:t>
      </w:r>
      <w:r w:rsidR="00A26AE8" w:rsidRPr="00C903A8">
        <w:rPr>
          <w:rFonts w:ascii="Times New Roman" w:hAnsi="Times New Roman" w:cs="Times New Roman"/>
          <w:lang w:val="es-ES"/>
        </w:rPr>
        <w:t>e</w:t>
      </w:r>
      <w:r w:rsidRPr="00C903A8">
        <w:rPr>
          <w:rFonts w:ascii="Times New Roman" w:hAnsi="Times New Roman" w:cs="Times New Roman"/>
          <w:lang w:val="es-ES"/>
        </w:rPr>
        <w:t xml:space="preserve"> </w:t>
      </w:r>
      <w:r w:rsidR="00A26AE8" w:rsidRPr="00C903A8">
        <w:rPr>
          <w:rFonts w:ascii="Times New Roman" w:hAnsi="Times New Roman" w:cs="Times New Roman"/>
          <w:lang w:val="es-ES"/>
        </w:rPr>
        <w:t>abandono</w:t>
      </w:r>
      <w:r w:rsidRPr="00C903A8">
        <w:rPr>
          <w:rFonts w:ascii="Times New Roman" w:hAnsi="Times New Roman" w:cs="Times New Roman"/>
          <w:lang w:val="es-ES"/>
        </w:rPr>
        <w:t xml:space="preserve"> escolar </w:t>
      </w:r>
      <w:r w:rsidR="00FE22D6" w:rsidRPr="00C903A8">
        <w:rPr>
          <w:rFonts w:ascii="Times New Roman" w:hAnsi="Times New Roman" w:cs="Times New Roman"/>
          <w:lang w:val="es-ES"/>
        </w:rPr>
        <w:t>representa</w:t>
      </w:r>
      <w:r w:rsidRPr="00C903A8">
        <w:rPr>
          <w:rFonts w:ascii="Times New Roman" w:hAnsi="Times New Roman" w:cs="Times New Roman"/>
          <w:lang w:val="es-ES"/>
        </w:rPr>
        <w:t xml:space="preserve"> </w:t>
      </w:r>
      <w:r w:rsidR="00FE22D6" w:rsidRPr="00C903A8">
        <w:rPr>
          <w:rFonts w:ascii="Times New Roman" w:hAnsi="Times New Roman" w:cs="Times New Roman"/>
          <w:lang w:val="es-ES"/>
        </w:rPr>
        <w:t>un problema continuo</w:t>
      </w:r>
      <w:r w:rsidRPr="00C903A8">
        <w:rPr>
          <w:rFonts w:ascii="Times New Roman" w:hAnsi="Times New Roman" w:cs="Times New Roman"/>
          <w:lang w:val="es-ES"/>
        </w:rPr>
        <w:t xml:space="preserve">, </w:t>
      </w:r>
      <w:r w:rsidR="00FE22D6" w:rsidRPr="00C903A8">
        <w:rPr>
          <w:rFonts w:ascii="Times New Roman" w:hAnsi="Times New Roman" w:cs="Times New Roman"/>
          <w:lang w:val="es-ES"/>
        </w:rPr>
        <w:t xml:space="preserve">puesto que un porcentaje significativo de alumnos de diversas etapas formativas interrumpen sus estudios antes de completar su formación universitaria </w:t>
      </w:r>
      <w:r w:rsidRPr="00C903A8">
        <w:rPr>
          <w:rFonts w:ascii="Times New Roman" w:hAnsi="Times New Roman" w:cs="Times New Roman"/>
          <w:lang w:val="es-ES"/>
        </w:rPr>
        <w:t>(</w:t>
      </w:r>
      <w:r w:rsidR="00FE22D6" w:rsidRPr="00C903A8">
        <w:rPr>
          <w:rFonts w:ascii="Times New Roman" w:hAnsi="Times New Roman" w:cs="Times New Roman"/>
          <w:lang w:val="es-ES"/>
        </w:rPr>
        <w:t xml:space="preserve">Otero, 2021; </w:t>
      </w:r>
      <w:r w:rsidR="00DA005B" w:rsidRPr="00C903A8">
        <w:rPr>
          <w:rFonts w:ascii="Times New Roman" w:eastAsia="MS Mincho" w:hAnsi="Times New Roman" w:cs="Times New Roman"/>
          <w:noProof/>
          <w:kern w:val="0"/>
          <w:lang w:val="es-MX"/>
          <w14:ligatures w14:val="none"/>
        </w:rPr>
        <w:t>Guzmán y Moctezuma, 2023</w:t>
      </w:r>
      <w:r w:rsidRPr="00C903A8">
        <w:rPr>
          <w:rFonts w:ascii="Times New Roman" w:hAnsi="Times New Roman" w:cs="Times New Roman"/>
          <w:lang w:val="es-ES"/>
        </w:rPr>
        <w:t xml:space="preserve">). Esta situación preocupa a educadores, políticos, padres y a la sociedad en general, </w:t>
      </w:r>
      <w:r w:rsidR="00406AE2" w:rsidRPr="00C903A8">
        <w:rPr>
          <w:rFonts w:ascii="Times New Roman" w:hAnsi="Times New Roman" w:cs="Times New Roman"/>
          <w:lang w:val="es-ES"/>
        </w:rPr>
        <w:t>puesto que</w:t>
      </w:r>
      <w:r w:rsidRPr="00C903A8">
        <w:rPr>
          <w:rFonts w:ascii="Times New Roman" w:hAnsi="Times New Roman" w:cs="Times New Roman"/>
          <w:lang w:val="es-ES"/>
        </w:rPr>
        <w:t xml:space="preserve"> se debe a una combinación de factores relacionados con el estudiante, su entorno y el sistema educativo </w:t>
      </w:r>
      <w:r w:rsidR="00DA005B" w:rsidRPr="00C903A8">
        <w:rPr>
          <w:rFonts w:ascii="Times New Roman" w:hAnsi="Times New Roman" w:cs="Times New Roman"/>
          <w:lang w:val="es-ES"/>
        </w:rPr>
        <w:t>(</w:t>
      </w:r>
      <w:r w:rsidR="00935BDF" w:rsidRPr="00C903A8">
        <w:rPr>
          <w:rFonts w:ascii="Times New Roman" w:hAnsi="Times New Roman" w:cs="Times New Roman"/>
          <w:lang w:val="es-ES"/>
        </w:rPr>
        <w:t xml:space="preserve">González, 2015; </w:t>
      </w:r>
      <w:r w:rsidR="00DA005B" w:rsidRPr="00C903A8">
        <w:rPr>
          <w:rFonts w:ascii="Times New Roman" w:hAnsi="Times New Roman" w:cs="Times New Roman"/>
          <w:lang w:val="es-ES"/>
        </w:rPr>
        <w:t xml:space="preserve">Necochea </w:t>
      </w:r>
      <w:r w:rsidR="00DA005B" w:rsidRPr="00C903A8">
        <w:rPr>
          <w:rFonts w:ascii="Times New Roman" w:hAnsi="Times New Roman" w:cs="Times New Roman"/>
          <w:i/>
          <w:iCs/>
          <w:lang w:val="es-ES"/>
        </w:rPr>
        <w:t>et al</w:t>
      </w:r>
      <w:r w:rsidR="00DA005B" w:rsidRPr="00C903A8">
        <w:rPr>
          <w:rFonts w:ascii="Times New Roman" w:hAnsi="Times New Roman" w:cs="Times New Roman"/>
          <w:lang w:val="es-ES"/>
        </w:rPr>
        <w:t>., 2017)</w:t>
      </w:r>
      <w:r w:rsidRPr="00C903A8">
        <w:rPr>
          <w:rFonts w:ascii="Times New Roman" w:hAnsi="Times New Roman" w:cs="Times New Roman"/>
          <w:lang w:val="es-ES"/>
        </w:rPr>
        <w:t>.</w:t>
      </w:r>
    </w:p>
    <w:p w14:paraId="2C7F0708" w14:textId="77777777" w:rsidR="00041B5E" w:rsidRPr="00C903A8" w:rsidRDefault="00041B5E" w:rsidP="00041B5E">
      <w:pPr>
        <w:jc w:val="both"/>
        <w:rPr>
          <w:rFonts w:ascii="Times New Roman" w:hAnsi="Times New Roman" w:cs="Times New Roman"/>
          <w:lang w:val="es-ES"/>
        </w:rPr>
      </w:pPr>
    </w:p>
    <w:p w14:paraId="06C0E5AE" w14:textId="0C593C51" w:rsidR="00EF444D" w:rsidRPr="00C903A8" w:rsidRDefault="00062185" w:rsidP="00041B5E">
      <w:pPr>
        <w:jc w:val="both"/>
        <w:rPr>
          <w:rFonts w:ascii="Times New Roman" w:hAnsi="Times New Roman" w:cs="Times New Roman"/>
          <w:lang w:val="es-ES"/>
        </w:rPr>
      </w:pPr>
      <w:r w:rsidRPr="00C903A8">
        <w:rPr>
          <w:rFonts w:ascii="Times New Roman" w:hAnsi="Times New Roman" w:cs="Times New Roman"/>
          <w:lang w:val="es-ES"/>
        </w:rPr>
        <w:t>Algunas causas de</w:t>
      </w:r>
      <w:r w:rsidR="00EF444D" w:rsidRPr="00C903A8">
        <w:rPr>
          <w:rFonts w:ascii="Times New Roman" w:hAnsi="Times New Roman" w:cs="Times New Roman"/>
          <w:lang w:val="es-ES"/>
        </w:rPr>
        <w:t xml:space="preserve">l abandono universitario </w:t>
      </w:r>
      <w:r w:rsidRPr="00C903A8">
        <w:rPr>
          <w:rFonts w:ascii="Times New Roman" w:hAnsi="Times New Roman" w:cs="Times New Roman"/>
          <w:lang w:val="es-ES"/>
        </w:rPr>
        <w:t xml:space="preserve">incluyen las dificultades económicas y la desigualdad, ya que los estudiantes de familias de bajos ingresos tienen </w:t>
      </w:r>
      <w:r w:rsidR="00FC5C35" w:rsidRPr="00C903A8">
        <w:rPr>
          <w:rFonts w:ascii="Times New Roman" w:hAnsi="Times New Roman" w:cs="Times New Roman"/>
          <w:lang w:val="es-ES"/>
        </w:rPr>
        <w:t>inconvenientes</w:t>
      </w:r>
      <w:r w:rsidRPr="00C903A8">
        <w:rPr>
          <w:rFonts w:ascii="Times New Roman" w:hAnsi="Times New Roman" w:cs="Times New Roman"/>
          <w:lang w:val="es-ES"/>
        </w:rPr>
        <w:t xml:space="preserve"> para pagar la matrícula, comprar útiles escolares, cubrir el transporte y la alimentación, así como otros gastos </w:t>
      </w:r>
      <w:r w:rsidR="00FC5C35" w:rsidRPr="00C903A8">
        <w:rPr>
          <w:rFonts w:ascii="Times New Roman" w:hAnsi="Times New Roman" w:cs="Times New Roman"/>
          <w:lang w:val="es-ES"/>
        </w:rPr>
        <w:t>(Miranda, 2018)</w:t>
      </w:r>
      <w:r w:rsidRPr="00C903A8">
        <w:rPr>
          <w:rFonts w:ascii="Times New Roman" w:hAnsi="Times New Roman" w:cs="Times New Roman"/>
          <w:lang w:val="es-ES"/>
        </w:rPr>
        <w:t xml:space="preserve">. Otra causa de la desvinculación progresiva y, por consiguiente, </w:t>
      </w:r>
      <w:r w:rsidR="00EF444D" w:rsidRPr="00C903A8">
        <w:rPr>
          <w:rFonts w:ascii="Times New Roman" w:hAnsi="Times New Roman" w:cs="Times New Roman"/>
          <w:lang w:val="es-ES"/>
        </w:rPr>
        <w:t>el abandono universitario</w:t>
      </w:r>
      <w:r w:rsidRPr="00C903A8">
        <w:rPr>
          <w:rFonts w:ascii="Times New Roman" w:hAnsi="Times New Roman" w:cs="Times New Roman"/>
          <w:lang w:val="es-ES"/>
        </w:rPr>
        <w:t xml:space="preserve"> es la falta de conexión con el profesorado y las pocas oportunidades para desarrollar otros talentos o habilidades </w:t>
      </w:r>
      <w:r w:rsidR="00FC5C35" w:rsidRPr="00C903A8">
        <w:rPr>
          <w:rFonts w:ascii="Times New Roman" w:hAnsi="Times New Roman" w:cs="Times New Roman"/>
          <w:lang w:val="es-ES"/>
        </w:rPr>
        <w:t>(González, 2015)</w:t>
      </w:r>
      <w:r w:rsidRPr="00C903A8">
        <w:rPr>
          <w:rFonts w:ascii="Times New Roman" w:hAnsi="Times New Roman" w:cs="Times New Roman"/>
          <w:lang w:val="es-ES"/>
        </w:rPr>
        <w:t>. Los problemas de salud y bienestar, como la depresión, la ansiedad y el estrés, también pueden contribuir a</w:t>
      </w:r>
      <w:r w:rsidR="00E95C8B" w:rsidRPr="00C903A8">
        <w:rPr>
          <w:rFonts w:ascii="Times New Roman" w:hAnsi="Times New Roman" w:cs="Times New Roman"/>
          <w:lang w:val="es-ES"/>
        </w:rPr>
        <w:t xml:space="preserve">l abandono </w:t>
      </w:r>
      <w:r w:rsidRPr="00C903A8">
        <w:rPr>
          <w:rFonts w:ascii="Times New Roman" w:hAnsi="Times New Roman" w:cs="Times New Roman"/>
          <w:lang w:val="es-ES"/>
        </w:rPr>
        <w:t xml:space="preserve">escolar. </w:t>
      </w:r>
    </w:p>
    <w:p w14:paraId="7D9AA339" w14:textId="77777777" w:rsidR="00041B5E" w:rsidRDefault="00041B5E" w:rsidP="00041B5E">
      <w:pPr>
        <w:jc w:val="both"/>
        <w:rPr>
          <w:rFonts w:ascii="Times New Roman" w:hAnsi="Times New Roman" w:cs="Times New Roman"/>
          <w:lang w:val="es-ES"/>
        </w:rPr>
      </w:pPr>
    </w:p>
    <w:p w14:paraId="238ED463" w14:textId="088551AA" w:rsidR="00062185" w:rsidRDefault="00117AEA" w:rsidP="00041B5E">
      <w:pPr>
        <w:jc w:val="both"/>
        <w:rPr>
          <w:rFonts w:ascii="Times New Roman" w:hAnsi="Times New Roman" w:cs="Times New Roman"/>
          <w:lang w:val="es-ES"/>
        </w:rPr>
      </w:pPr>
      <w:r w:rsidRPr="00C903A8">
        <w:rPr>
          <w:rFonts w:ascii="Times New Roman" w:hAnsi="Times New Roman" w:cs="Times New Roman"/>
          <w:lang w:val="es-ES"/>
        </w:rPr>
        <w:t>Otro factor importante corresponde a los problemas familiares</w:t>
      </w:r>
      <w:r w:rsidR="00062185" w:rsidRPr="00C903A8">
        <w:rPr>
          <w:rFonts w:ascii="Times New Roman" w:hAnsi="Times New Roman" w:cs="Times New Roman"/>
          <w:lang w:val="es-ES"/>
        </w:rPr>
        <w:t>, como la violencia doméstica, el abuso o la negligencia, que pueden llevar a un estudiante a abandonar la universidad. Además de lo anterior, la pandemia de COVID-19 también exacerbó el problema de</w:t>
      </w:r>
      <w:r w:rsidR="00EF444D" w:rsidRPr="00C903A8">
        <w:rPr>
          <w:rFonts w:ascii="Times New Roman" w:hAnsi="Times New Roman" w:cs="Times New Roman"/>
          <w:lang w:val="es-ES"/>
        </w:rPr>
        <w:t>l</w:t>
      </w:r>
      <w:r w:rsidR="00062185" w:rsidRPr="00C903A8">
        <w:rPr>
          <w:rFonts w:ascii="Times New Roman" w:hAnsi="Times New Roman" w:cs="Times New Roman"/>
          <w:lang w:val="es-ES"/>
        </w:rPr>
        <w:t xml:space="preserve"> </w:t>
      </w:r>
      <w:r w:rsidR="00EF444D" w:rsidRPr="00C903A8">
        <w:rPr>
          <w:rFonts w:ascii="Times New Roman" w:hAnsi="Times New Roman" w:cs="Times New Roman"/>
          <w:lang w:val="es-ES"/>
        </w:rPr>
        <w:t>abandono universitario</w:t>
      </w:r>
      <w:r w:rsidR="00062185" w:rsidRPr="00C903A8">
        <w:rPr>
          <w:rFonts w:ascii="Times New Roman" w:hAnsi="Times New Roman" w:cs="Times New Roman"/>
          <w:lang w:val="es-ES"/>
        </w:rPr>
        <w:t xml:space="preserve">, ya que muchos estudiantes se vieron obligados a </w:t>
      </w:r>
      <w:r w:rsidR="00EF444D" w:rsidRPr="00C903A8">
        <w:rPr>
          <w:rFonts w:ascii="Times New Roman" w:hAnsi="Times New Roman" w:cs="Times New Roman"/>
          <w:lang w:val="es-ES"/>
        </w:rPr>
        <w:t>postergar</w:t>
      </w:r>
      <w:r w:rsidR="00062185" w:rsidRPr="00C903A8">
        <w:rPr>
          <w:rFonts w:ascii="Times New Roman" w:hAnsi="Times New Roman" w:cs="Times New Roman"/>
          <w:lang w:val="es-ES"/>
        </w:rPr>
        <w:t xml:space="preserve"> sus estudios para trabajar y, así, apoyar </w:t>
      </w:r>
      <w:r w:rsidR="00FC5C35" w:rsidRPr="00C903A8">
        <w:rPr>
          <w:rFonts w:ascii="Times New Roman" w:hAnsi="Times New Roman" w:cs="Times New Roman"/>
          <w:lang w:val="es-ES"/>
        </w:rPr>
        <w:t xml:space="preserve">a </w:t>
      </w:r>
      <w:r w:rsidR="00062185" w:rsidRPr="00C903A8">
        <w:rPr>
          <w:rFonts w:ascii="Times New Roman" w:hAnsi="Times New Roman" w:cs="Times New Roman"/>
          <w:lang w:val="es-ES"/>
        </w:rPr>
        <w:t xml:space="preserve">la economía familiar </w:t>
      </w:r>
      <w:r w:rsidR="00FC5C35" w:rsidRPr="00C903A8">
        <w:rPr>
          <w:rFonts w:ascii="Times New Roman" w:hAnsi="Times New Roman" w:cs="Times New Roman"/>
          <w:lang w:val="es-ES"/>
        </w:rPr>
        <w:t xml:space="preserve">(Ramírez y Cázares, </w:t>
      </w:r>
      <w:r w:rsidR="007D32AB" w:rsidRPr="00C903A8">
        <w:rPr>
          <w:rFonts w:ascii="Times New Roman" w:hAnsi="Times New Roman" w:cs="Times New Roman"/>
          <w:lang w:val="es-ES"/>
        </w:rPr>
        <w:t>2024</w:t>
      </w:r>
      <w:r w:rsidR="00FC5C35" w:rsidRPr="00C903A8">
        <w:rPr>
          <w:rFonts w:ascii="Times New Roman" w:hAnsi="Times New Roman" w:cs="Times New Roman"/>
          <w:lang w:val="es-ES"/>
        </w:rPr>
        <w:t>)</w:t>
      </w:r>
      <w:r w:rsidR="00062185" w:rsidRPr="00C903A8">
        <w:rPr>
          <w:rFonts w:ascii="Times New Roman" w:hAnsi="Times New Roman" w:cs="Times New Roman"/>
          <w:lang w:val="es-ES"/>
        </w:rPr>
        <w:t>.</w:t>
      </w:r>
    </w:p>
    <w:p w14:paraId="3BDCAEFA" w14:textId="77777777" w:rsidR="00041B5E" w:rsidRPr="00C903A8" w:rsidRDefault="00041B5E" w:rsidP="00041B5E">
      <w:pPr>
        <w:jc w:val="both"/>
        <w:rPr>
          <w:rFonts w:ascii="Times New Roman" w:hAnsi="Times New Roman" w:cs="Times New Roman"/>
          <w:lang w:val="es-ES"/>
        </w:rPr>
      </w:pPr>
    </w:p>
    <w:p w14:paraId="6D850892" w14:textId="26209EBA" w:rsidR="00062185" w:rsidRDefault="00062185" w:rsidP="00041B5E">
      <w:pPr>
        <w:jc w:val="both"/>
        <w:rPr>
          <w:rFonts w:ascii="Times New Roman" w:hAnsi="Times New Roman" w:cs="Times New Roman"/>
          <w:lang w:val="es-ES"/>
        </w:rPr>
      </w:pPr>
      <w:r w:rsidRPr="00041B5E">
        <w:rPr>
          <w:rFonts w:ascii="Times New Roman" w:hAnsi="Times New Roman" w:cs="Times New Roman"/>
          <w:lang w:val="es-ES"/>
        </w:rPr>
        <w:t xml:space="preserve">Para abordar este problema, es fundamental implementar medidas que mitiguen sus causas. Algunas posibles soluciones incluyen mejorar la calidad educativa, es decir, implementar programas relevantes y atractivos para los estudiantes, mejorar la formación docente, proporcionar recursos y tecnologías adecuados en las escuelas. </w:t>
      </w:r>
      <w:r w:rsidR="009A3AFA" w:rsidRPr="00041B5E">
        <w:rPr>
          <w:rFonts w:ascii="Times New Roman" w:hAnsi="Times New Roman" w:cs="Times New Roman"/>
          <w:lang w:val="es-ES"/>
        </w:rPr>
        <w:t xml:space="preserve">Para prevenir </w:t>
      </w:r>
      <w:r w:rsidR="00117AEA" w:rsidRPr="00041B5E">
        <w:rPr>
          <w:rFonts w:ascii="Times New Roman" w:hAnsi="Times New Roman" w:cs="Times New Roman"/>
          <w:lang w:val="es-ES"/>
        </w:rPr>
        <w:t>el abandono universitario</w:t>
      </w:r>
      <w:r w:rsidR="009A3AFA" w:rsidRPr="00041B5E">
        <w:rPr>
          <w:rFonts w:ascii="Times New Roman" w:hAnsi="Times New Roman" w:cs="Times New Roman"/>
          <w:lang w:val="es-ES"/>
        </w:rPr>
        <w:t xml:space="preserve"> también es esencial f</w:t>
      </w:r>
      <w:r w:rsidRPr="00041B5E">
        <w:rPr>
          <w:rFonts w:ascii="Times New Roman" w:hAnsi="Times New Roman" w:cs="Times New Roman"/>
          <w:lang w:val="es-ES"/>
        </w:rPr>
        <w:t xml:space="preserve">omentar la participación familiar y comunitaria. </w:t>
      </w:r>
      <w:r w:rsidR="003444BF" w:rsidRPr="00041B5E">
        <w:rPr>
          <w:rFonts w:ascii="Times New Roman" w:hAnsi="Times New Roman" w:cs="Times New Roman"/>
          <w:lang w:val="es-ES"/>
        </w:rPr>
        <w:t>De igual manera</w:t>
      </w:r>
      <w:r w:rsidRPr="00041B5E">
        <w:rPr>
          <w:rFonts w:ascii="Times New Roman" w:hAnsi="Times New Roman" w:cs="Times New Roman"/>
          <w:lang w:val="es-ES"/>
        </w:rPr>
        <w:t xml:space="preserve">, brindar apoyo y recursos a los estudiantes es crucial para ayudarlos a superar los desafíos y permanecer en la universidad, incluyendo apoyo especial para estudiantes con discapacidad. </w:t>
      </w:r>
      <w:r w:rsidR="003444BF" w:rsidRPr="00041B5E">
        <w:rPr>
          <w:rFonts w:ascii="Times New Roman" w:hAnsi="Times New Roman" w:cs="Times New Roman"/>
          <w:lang w:val="es-ES"/>
        </w:rPr>
        <w:t>Adicionalmente</w:t>
      </w:r>
      <w:r w:rsidRPr="00041B5E">
        <w:rPr>
          <w:rFonts w:ascii="Times New Roman" w:hAnsi="Times New Roman" w:cs="Times New Roman"/>
          <w:lang w:val="es-ES"/>
        </w:rPr>
        <w:t xml:space="preserve">, ofrecer formación profesional y programas de educación </w:t>
      </w:r>
      <w:r w:rsidR="00EC49FD" w:rsidRPr="00041B5E">
        <w:rPr>
          <w:rFonts w:ascii="Times New Roman" w:hAnsi="Times New Roman" w:cs="Times New Roman"/>
          <w:lang w:val="es-ES"/>
        </w:rPr>
        <w:t>continua</w:t>
      </w:r>
      <w:r w:rsidRPr="00041B5E">
        <w:rPr>
          <w:rFonts w:ascii="Times New Roman" w:hAnsi="Times New Roman" w:cs="Times New Roman"/>
          <w:lang w:val="es-ES"/>
        </w:rPr>
        <w:t xml:space="preserve"> puede proporcionar a los estudiantes habilidades prácticas adicionales</w:t>
      </w:r>
      <w:r w:rsidR="007D32AB" w:rsidRPr="00041B5E">
        <w:rPr>
          <w:rFonts w:ascii="Times New Roman" w:hAnsi="Times New Roman" w:cs="Times New Roman"/>
          <w:lang w:val="es-ES"/>
        </w:rPr>
        <w:t xml:space="preserve"> (</w:t>
      </w:r>
      <w:r w:rsidR="003444BF" w:rsidRPr="00041B5E">
        <w:rPr>
          <w:rFonts w:ascii="Times New Roman" w:hAnsi="Times New Roman" w:cs="Times New Roman"/>
          <w:lang w:val="es-ES"/>
        </w:rPr>
        <w:t xml:space="preserve">INEE, 2016; </w:t>
      </w:r>
      <w:r w:rsidR="007D32AB" w:rsidRPr="00041B5E">
        <w:rPr>
          <w:rFonts w:ascii="Times New Roman" w:hAnsi="Times New Roman" w:cs="Times New Roman"/>
          <w:lang w:val="es-ES"/>
        </w:rPr>
        <w:t>Rochin, 2021)</w:t>
      </w:r>
      <w:r w:rsidRPr="00041B5E">
        <w:rPr>
          <w:rFonts w:ascii="Times New Roman" w:hAnsi="Times New Roman" w:cs="Times New Roman"/>
          <w:lang w:val="es-ES"/>
        </w:rPr>
        <w:t>.</w:t>
      </w:r>
    </w:p>
    <w:p w14:paraId="6CF536E4" w14:textId="77777777" w:rsidR="00041B5E" w:rsidRPr="00041B5E" w:rsidRDefault="00041B5E" w:rsidP="00041B5E">
      <w:pPr>
        <w:jc w:val="both"/>
        <w:rPr>
          <w:rFonts w:ascii="Times New Roman" w:hAnsi="Times New Roman" w:cs="Times New Roman"/>
          <w:lang w:val="es-ES"/>
        </w:rPr>
      </w:pPr>
    </w:p>
    <w:p w14:paraId="25C19C1C" w14:textId="10B5EB8E" w:rsidR="00DF62EC" w:rsidRDefault="00DF62EC" w:rsidP="00041B5E">
      <w:pPr>
        <w:jc w:val="both"/>
        <w:rPr>
          <w:rFonts w:ascii="Times New Roman" w:hAnsi="Times New Roman" w:cs="Times New Roman"/>
          <w:lang w:val="es-ES"/>
        </w:rPr>
      </w:pPr>
      <w:r w:rsidRPr="00041B5E">
        <w:rPr>
          <w:rFonts w:ascii="Times New Roman" w:hAnsi="Times New Roman" w:cs="Times New Roman"/>
          <w:lang w:val="es-ES"/>
        </w:rPr>
        <w:t xml:space="preserve">Aunado a lo anterior, también es importante brindar apoyo social a los estudiantes, como programas de orientación vocacional, apoyo psicológico y apoyo familiar. Esto tiene como objetivo ayudarlos a superar los desafíos económicos y sociales. Asimismo, se necesitan políticas de apoyo económico, como becas, programas de asistencia alimentaria y programas de residencia universitaria, para que puedan continuar sus estudios universitarios. </w:t>
      </w:r>
      <w:r w:rsidR="00EC49FD" w:rsidRPr="00041B5E">
        <w:rPr>
          <w:rFonts w:ascii="Times New Roman" w:hAnsi="Times New Roman" w:cs="Times New Roman"/>
          <w:lang w:val="es-ES"/>
        </w:rPr>
        <w:t>Además</w:t>
      </w:r>
      <w:r w:rsidRPr="00041B5E">
        <w:rPr>
          <w:rFonts w:ascii="Times New Roman" w:hAnsi="Times New Roman" w:cs="Times New Roman"/>
          <w:lang w:val="es-ES"/>
        </w:rPr>
        <w:t>, debe garantizarse que todos los estudiantes tengan acceso a una educación de calidad, independientemente de su nivel socioeconómico.</w:t>
      </w:r>
    </w:p>
    <w:p w14:paraId="074BAF56" w14:textId="77777777" w:rsidR="00041B5E" w:rsidRPr="00041B5E" w:rsidRDefault="00041B5E" w:rsidP="00041B5E">
      <w:pPr>
        <w:jc w:val="both"/>
        <w:rPr>
          <w:rFonts w:ascii="Times New Roman" w:hAnsi="Times New Roman" w:cs="Times New Roman"/>
          <w:lang w:val="es-ES"/>
        </w:rPr>
      </w:pPr>
    </w:p>
    <w:p w14:paraId="0F8EA50F" w14:textId="5B23E71B" w:rsidR="00DF62EC" w:rsidRDefault="00DF62EC" w:rsidP="00041B5E">
      <w:pPr>
        <w:jc w:val="both"/>
        <w:rPr>
          <w:rFonts w:ascii="Times New Roman" w:hAnsi="Times New Roman" w:cs="Times New Roman"/>
          <w:lang w:val="es-ES"/>
        </w:rPr>
      </w:pPr>
      <w:r w:rsidRPr="00041B5E">
        <w:rPr>
          <w:rFonts w:ascii="Times New Roman" w:hAnsi="Times New Roman" w:cs="Times New Roman"/>
          <w:lang w:val="es-ES"/>
        </w:rPr>
        <w:t>Este artículo describe la clasificación de los factores que influyen en</w:t>
      </w:r>
      <w:r w:rsidR="00E95C8B" w:rsidRPr="00041B5E">
        <w:rPr>
          <w:rFonts w:ascii="Times New Roman" w:hAnsi="Times New Roman" w:cs="Times New Roman"/>
          <w:lang w:val="es-ES"/>
        </w:rPr>
        <w:t xml:space="preserve"> el abandono </w:t>
      </w:r>
      <w:r w:rsidRPr="00041B5E">
        <w:rPr>
          <w:rFonts w:ascii="Times New Roman" w:hAnsi="Times New Roman" w:cs="Times New Roman"/>
          <w:lang w:val="es-ES"/>
        </w:rPr>
        <w:t>universitari</w:t>
      </w:r>
      <w:r w:rsidR="00E95C8B" w:rsidRPr="00041B5E">
        <w:rPr>
          <w:rFonts w:ascii="Times New Roman" w:hAnsi="Times New Roman" w:cs="Times New Roman"/>
          <w:lang w:val="es-ES"/>
        </w:rPr>
        <w:t>o</w:t>
      </w:r>
      <w:r w:rsidRPr="00041B5E">
        <w:rPr>
          <w:rFonts w:ascii="Times New Roman" w:hAnsi="Times New Roman" w:cs="Times New Roman"/>
          <w:lang w:val="es-ES"/>
        </w:rPr>
        <w:t xml:space="preserve">. Estos factores potenciales se identificaron en cuatro programas educativos de la Facultad de Contaduría y Administración de la Universidad Veracruzana, México. Para este análisis, se utilizaron datos recopilados de encuestas realizadas a 1018 estudiantes universitarios y dos algoritmos de </w:t>
      </w:r>
      <w:r w:rsidR="00EC49FD" w:rsidRPr="00041B5E">
        <w:rPr>
          <w:rFonts w:ascii="Times New Roman" w:hAnsi="Times New Roman" w:cs="Times New Roman"/>
          <w:lang w:val="es-ES"/>
        </w:rPr>
        <w:t>aprendizaje automático</w:t>
      </w:r>
      <w:r w:rsidRPr="00041B5E">
        <w:rPr>
          <w:rFonts w:ascii="Times New Roman" w:hAnsi="Times New Roman" w:cs="Times New Roman"/>
          <w:lang w:val="es-ES"/>
        </w:rPr>
        <w:t xml:space="preserve">. El análisis se realizó en </w:t>
      </w:r>
      <w:r w:rsidR="009A3AFA" w:rsidRPr="00041B5E">
        <w:rPr>
          <w:rFonts w:ascii="Times New Roman" w:hAnsi="Times New Roman" w:cs="Times New Roman"/>
          <w:lang w:val="es-ES"/>
        </w:rPr>
        <w:t>tres</w:t>
      </w:r>
      <w:r w:rsidRPr="00041B5E">
        <w:rPr>
          <w:rFonts w:ascii="Times New Roman" w:hAnsi="Times New Roman" w:cs="Times New Roman"/>
          <w:lang w:val="es-ES"/>
        </w:rPr>
        <w:t xml:space="preserve"> etapas: i) revisión y análisis de la fuente de datos; </w:t>
      </w:r>
      <w:proofErr w:type="spellStart"/>
      <w:r w:rsidRPr="00041B5E">
        <w:rPr>
          <w:rFonts w:ascii="Times New Roman" w:hAnsi="Times New Roman" w:cs="Times New Roman"/>
          <w:lang w:val="es-ES"/>
        </w:rPr>
        <w:t>ii</w:t>
      </w:r>
      <w:proofErr w:type="spellEnd"/>
      <w:r w:rsidRPr="00041B5E">
        <w:rPr>
          <w:rFonts w:ascii="Times New Roman" w:hAnsi="Times New Roman" w:cs="Times New Roman"/>
          <w:lang w:val="es-ES"/>
        </w:rPr>
        <w:t xml:space="preserve">) selección de los principales factores que influyen en </w:t>
      </w:r>
      <w:r w:rsidR="00EC49FD" w:rsidRPr="00041B5E">
        <w:rPr>
          <w:rFonts w:ascii="Times New Roman" w:hAnsi="Times New Roman" w:cs="Times New Roman"/>
          <w:lang w:val="es-ES"/>
        </w:rPr>
        <w:t>el abandono</w:t>
      </w:r>
      <w:r w:rsidRPr="00041B5E">
        <w:rPr>
          <w:rFonts w:ascii="Times New Roman" w:hAnsi="Times New Roman" w:cs="Times New Roman"/>
          <w:lang w:val="es-ES"/>
        </w:rPr>
        <w:t xml:space="preserve"> universitari</w:t>
      </w:r>
      <w:r w:rsidR="00EC49FD" w:rsidRPr="00041B5E">
        <w:rPr>
          <w:rFonts w:ascii="Times New Roman" w:hAnsi="Times New Roman" w:cs="Times New Roman"/>
          <w:lang w:val="es-ES"/>
        </w:rPr>
        <w:t>o</w:t>
      </w:r>
      <w:r w:rsidRPr="00041B5E">
        <w:rPr>
          <w:rFonts w:ascii="Times New Roman" w:hAnsi="Times New Roman" w:cs="Times New Roman"/>
          <w:lang w:val="es-ES"/>
        </w:rPr>
        <w:t>;</w:t>
      </w:r>
      <w:r w:rsidR="009A3AFA" w:rsidRPr="00041B5E">
        <w:rPr>
          <w:rFonts w:ascii="Times New Roman" w:hAnsi="Times New Roman" w:cs="Times New Roman"/>
          <w:lang w:val="es-ES"/>
        </w:rPr>
        <w:t xml:space="preserve"> y</w:t>
      </w:r>
      <w:r w:rsidRPr="00041B5E">
        <w:rPr>
          <w:rFonts w:ascii="Times New Roman" w:hAnsi="Times New Roman" w:cs="Times New Roman"/>
          <w:lang w:val="es-ES"/>
        </w:rPr>
        <w:t xml:space="preserve"> </w:t>
      </w:r>
      <w:proofErr w:type="spellStart"/>
      <w:r w:rsidRPr="00041B5E">
        <w:rPr>
          <w:rFonts w:ascii="Times New Roman" w:hAnsi="Times New Roman" w:cs="Times New Roman"/>
          <w:lang w:val="es-ES"/>
        </w:rPr>
        <w:t>iii</w:t>
      </w:r>
      <w:proofErr w:type="spellEnd"/>
      <w:r w:rsidRPr="00041B5E">
        <w:rPr>
          <w:rFonts w:ascii="Times New Roman" w:hAnsi="Times New Roman" w:cs="Times New Roman"/>
          <w:lang w:val="es-ES"/>
        </w:rPr>
        <w:t xml:space="preserve">) clasificación </w:t>
      </w:r>
      <w:r w:rsidR="009A3AFA" w:rsidRPr="00041B5E">
        <w:rPr>
          <w:rFonts w:ascii="Times New Roman" w:hAnsi="Times New Roman" w:cs="Times New Roman"/>
          <w:lang w:val="es-ES"/>
        </w:rPr>
        <w:t xml:space="preserve">de los datos y validación </w:t>
      </w:r>
      <w:r w:rsidRPr="00041B5E">
        <w:rPr>
          <w:rFonts w:ascii="Times New Roman" w:hAnsi="Times New Roman" w:cs="Times New Roman"/>
          <w:lang w:val="es-ES"/>
        </w:rPr>
        <w:t xml:space="preserve">de los resultados obtenidos. Estos hallazgos indican que </w:t>
      </w:r>
      <w:r w:rsidR="00EC49FD" w:rsidRPr="00041B5E">
        <w:rPr>
          <w:rFonts w:ascii="Times New Roman" w:hAnsi="Times New Roman" w:cs="Times New Roman"/>
          <w:lang w:val="es-ES"/>
        </w:rPr>
        <w:t xml:space="preserve">el abandono </w:t>
      </w:r>
      <w:r w:rsidRPr="00041B5E">
        <w:rPr>
          <w:rFonts w:ascii="Times New Roman" w:hAnsi="Times New Roman" w:cs="Times New Roman"/>
          <w:lang w:val="es-ES"/>
        </w:rPr>
        <w:t>universitari</w:t>
      </w:r>
      <w:r w:rsidR="00EC49FD" w:rsidRPr="00041B5E">
        <w:rPr>
          <w:rFonts w:ascii="Times New Roman" w:hAnsi="Times New Roman" w:cs="Times New Roman"/>
          <w:lang w:val="es-ES"/>
        </w:rPr>
        <w:t>o</w:t>
      </w:r>
      <w:r w:rsidRPr="00041B5E">
        <w:rPr>
          <w:rFonts w:ascii="Times New Roman" w:hAnsi="Times New Roman" w:cs="Times New Roman"/>
          <w:lang w:val="es-ES"/>
        </w:rPr>
        <w:t xml:space="preserve"> está en aumento y que existen numerosos factores que contribuyen a este fenómeno, siendo los </w:t>
      </w:r>
      <w:r w:rsidR="00AE5948" w:rsidRPr="00041B5E">
        <w:rPr>
          <w:rFonts w:ascii="Times New Roman" w:hAnsi="Times New Roman" w:cs="Times New Roman"/>
          <w:lang w:val="es-ES"/>
        </w:rPr>
        <w:t>aspectos</w:t>
      </w:r>
      <w:r w:rsidRPr="00041B5E">
        <w:rPr>
          <w:rFonts w:ascii="Times New Roman" w:hAnsi="Times New Roman" w:cs="Times New Roman"/>
          <w:lang w:val="es-ES"/>
        </w:rPr>
        <w:t xml:space="preserve"> económicos uno de los más significativos.</w:t>
      </w:r>
    </w:p>
    <w:p w14:paraId="0BD7D0F0" w14:textId="77777777" w:rsidR="00041B5E" w:rsidRPr="00041B5E" w:rsidRDefault="00041B5E" w:rsidP="00041B5E">
      <w:pPr>
        <w:jc w:val="both"/>
        <w:rPr>
          <w:rFonts w:ascii="Times New Roman" w:hAnsi="Times New Roman" w:cs="Times New Roman"/>
          <w:lang w:val="es-ES"/>
        </w:rPr>
      </w:pPr>
    </w:p>
    <w:p w14:paraId="12FC2AA4" w14:textId="00937A83" w:rsidR="00DF62EC" w:rsidRPr="00041B5E" w:rsidRDefault="00DF62EC" w:rsidP="00041B5E">
      <w:pPr>
        <w:jc w:val="both"/>
        <w:rPr>
          <w:rFonts w:ascii="Times New Roman" w:hAnsi="Times New Roman" w:cs="Times New Roman"/>
          <w:lang w:val="es-ES"/>
        </w:rPr>
      </w:pPr>
      <w:r w:rsidRPr="00041B5E">
        <w:rPr>
          <w:rFonts w:ascii="Times New Roman" w:hAnsi="Times New Roman" w:cs="Times New Roman"/>
          <w:lang w:val="es-ES"/>
        </w:rPr>
        <w:t>E</w:t>
      </w:r>
      <w:r w:rsidR="00AE5948" w:rsidRPr="00041B5E">
        <w:rPr>
          <w:rFonts w:ascii="Times New Roman" w:hAnsi="Times New Roman" w:cs="Times New Roman"/>
          <w:lang w:val="es-ES"/>
        </w:rPr>
        <w:t xml:space="preserve">ste documento está </w:t>
      </w:r>
      <w:r w:rsidRPr="00041B5E">
        <w:rPr>
          <w:rFonts w:ascii="Times New Roman" w:hAnsi="Times New Roman" w:cs="Times New Roman"/>
          <w:lang w:val="es-ES"/>
        </w:rPr>
        <w:t>organiza</w:t>
      </w:r>
      <w:r w:rsidR="00AE5948" w:rsidRPr="00041B5E">
        <w:rPr>
          <w:rFonts w:ascii="Times New Roman" w:hAnsi="Times New Roman" w:cs="Times New Roman"/>
          <w:lang w:val="es-ES"/>
        </w:rPr>
        <w:t>do</w:t>
      </w:r>
      <w:r w:rsidRPr="00041B5E">
        <w:rPr>
          <w:rFonts w:ascii="Times New Roman" w:hAnsi="Times New Roman" w:cs="Times New Roman"/>
          <w:lang w:val="es-ES"/>
        </w:rPr>
        <w:t xml:space="preserve"> de la siguiente manera: la Sección 2 presenta los antecedentes sobre la importancia de la educación, el impacto d</w:t>
      </w:r>
      <w:r w:rsidR="00EC49FD" w:rsidRPr="00041B5E">
        <w:rPr>
          <w:rFonts w:ascii="Times New Roman" w:hAnsi="Times New Roman" w:cs="Times New Roman"/>
          <w:lang w:val="es-ES"/>
        </w:rPr>
        <w:t xml:space="preserve">el abandono </w:t>
      </w:r>
      <w:r w:rsidRPr="00041B5E">
        <w:rPr>
          <w:rFonts w:ascii="Times New Roman" w:hAnsi="Times New Roman" w:cs="Times New Roman"/>
          <w:lang w:val="es-ES"/>
        </w:rPr>
        <w:t>escolar y la aplicación de la inteligencia computacional. La Sección 3 describe el método definido como solución propuesta. La Sección 4 presenta los resultados obtenidos de la clasificación, basados en el análisis de la fuente de datos obtenida de las encuestas, y la Sección 5 resume las principales conclusiones y el trabajo futuro.</w:t>
      </w:r>
    </w:p>
    <w:p w14:paraId="63A142E7" w14:textId="77777777" w:rsidR="009103CE" w:rsidRPr="00041B5E" w:rsidRDefault="009103CE" w:rsidP="00041B5E">
      <w:pPr>
        <w:jc w:val="both"/>
        <w:rPr>
          <w:rFonts w:ascii="Times New Roman" w:hAnsi="Times New Roman" w:cs="Times New Roman"/>
          <w:lang w:val="es-ES"/>
        </w:rPr>
      </w:pPr>
    </w:p>
    <w:p w14:paraId="0F3A70B1" w14:textId="1EE6CBC2" w:rsidR="009103CE" w:rsidRDefault="009103CE" w:rsidP="00041B5E">
      <w:pPr>
        <w:jc w:val="center"/>
        <w:rPr>
          <w:rFonts w:ascii="Times New Roman" w:hAnsi="Times New Roman" w:cs="Times New Roman"/>
          <w:b/>
          <w:bCs/>
          <w:lang w:val="es-ES"/>
        </w:rPr>
      </w:pPr>
      <w:r w:rsidRPr="00041B5E">
        <w:rPr>
          <w:rFonts w:ascii="Times New Roman" w:hAnsi="Times New Roman" w:cs="Times New Roman"/>
          <w:b/>
          <w:bCs/>
          <w:lang w:val="es-ES"/>
        </w:rPr>
        <w:t>Antecedentes</w:t>
      </w:r>
    </w:p>
    <w:p w14:paraId="1E94CCD4" w14:textId="77777777" w:rsidR="00041B5E" w:rsidRPr="00041B5E" w:rsidRDefault="00041B5E" w:rsidP="00041B5E">
      <w:pPr>
        <w:jc w:val="center"/>
        <w:rPr>
          <w:rFonts w:ascii="Times New Roman" w:hAnsi="Times New Roman" w:cs="Times New Roman"/>
          <w:b/>
          <w:bCs/>
          <w:lang w:val="es-ES"/>
        </w:rPr>
      </w:pPr>
    </w:p>
    <w:p w14:paraId="54ADCC95" w14:textId="6E6B08C4" w:rsidR="00153674" w:rsidRDefault="00153674" w:rsidP="00041B5E">
      <w:pPr>
        <w:jc w:val="both"/>
        <w:rPr>
          <w:rFonts w:ascii="Times New Roman" w:hAnsi="Times New Roman"/>
          <w:lang w:val="es-ES"/>
        </w:rPr>
      </w:pPr>
      <w:r w:rsidRPr="00041B5E">
        <w:rPr>
          <w:rFonts w:ascii="Times New Roman" w:hAnsi="Times New Roman"/>
          <w:lang w:val="es-ES"/>
        </w:rPr>
        <w:t>Existen factores importantes que contribuyen a</w:t>
      </w:r>
      <w:r w:rsidR="00617AFD" w:rsidRPr="00041B5E">
        <w:rPr>
          <w:rFonts w:ascii="Times New Roman" w:hAnsi="Times New Roman"/>
          <w:lang w:val="es-ES"/>
        </w:rPr>
        <w:t xml:space="preserve">l </w:t>
      </w:r>
      <w:r w:rsidR="00617AFD" w:rsidRPr="00041B5E">
        <w:rPr>
          <w:rFonts w:ascii="Times New Roman" w:hAnsi="Times New Roman" w:cs="Times New Roman"/>
          <w:lang w:val="es-ES"/>
        </w:rPr>
        <w:t xml:space="preserve">abandono </w:t>
      </w:r>
      <w:r w:rsidRPr="00041B5E">
        <w:rPr>
          <w:rFonts w:ascii="Times New Roman" w:hAnsi="Times New Roman" w:cs="Times New Roman"/>
          <w:lang w:val="es-ES"/>
        </w:rPr>
        <w:t>universitari</w:t>
      </w:r>
      <w:r w:rsidR="00617AFD" w:rsidRPr="00041B5E">
        <w:rPr>
          <w:rFonts w:ascii="Times New Roman" w:hAnsi="Times New Roman" w:cs="Times New Roman"/>
          <w:lang w:val="es-ES"/>
        </w:rPr>
        <w:t>o</w:t>
      </w:r>
      <w:r w:rsidRPr="00041B5E">
        <w:rPr>
          <w:rFonts w:ascii="Times New Roman" w:hAnsi="Times New Roman"/>
          <w:lang w:val="es-ES"/>
        </w:rPr>
        <w:t xml:space="preserve"> debido a la situación económica del estudiante, tales como (</w:t>
      </w:r>
      <w:r w:rsidRPr="00041B5E">
        <w:rPr>
          <w:rFonts w:ascii="Times New Roman" w:hAnsi="Times New Roman" w:cs="Times New Roman"/>
          <w:lang w:val="es-ES"/>
        </w:rPr>
        <w:t>OCD</w:t>
      </w:r>
      <w:r w:rsidR="00617AFD" w:rsidRPr="00041B5E">
        <w:rPr>
          <w:rFonts w:ascii="Times New Roman" w:hAnsi="Times New Roman" w:cs="Times New Roman"/>
          <w:lang w:val="es-ES"/>
        </w:rPr>
        <w:t>E</w:t>
      </w:r>
      <w:r w:rsidRPr="00041B5E">
        <w:rPr>
          <w:rFonts w:ascii="Times New Roman" w:hAnsi="Times New Roman" w:cs="Times New Roman"/>
          <w:lang w:val="es-ES"/>
        </w:rPr>
        <w:t>, 2025</w:t>
      </w:r>
      <w:r w:rsidR="001663A6" w:rsidRPr="00041B5E">
        <w:rPr>
          <w:rFonts w:ascii="Times New Roman" w:hAnsi="Times New Roman" w:cs="Times New Roman"/>
          <w:lang w:val="es-ES"/>
        </w:rPr>
        <w:t>a</w:t>
      </w:r>
      <w:r w:rsidRPr="00041B5E">
        <w:rPr>
          <w:rFonts w:ascii="Times New Roman" w:hAnsi="Times New Roman" w:cs="Times New Roman"/>
          <w:lang w:val="es-ES"/>
        </w:rPr>
        <w:t>;</w:t>
      </w:r>
      <w:r w:rsidRPr="00041B5E">
        <w:rPr>
          <w:rFonts w:ascii="Times New Roman" w:hAnsi="Times New Roman"/>
          <w:lang w:val="es-ES"/>
        </w:rPr>
        <w:t xml:space="preserve"> </w:t>
      </w:r>
      <w:r w:rsidRPr="00041B5E">
        <w:rPr>
          <w:rFonts w:ascii="Times New Roman" w:eastAsia="MS Mincho" w:hAnsi="Times New Roman" w:cs="Times New Roman"/>
          <w:noProof/>
          <w:kern w:val="0"/>
          <w:lang w:val="es-MX"/>
          <w14:ligatures w14:val="none"/>
        </w:rPr>
        <w:t>Hidalgo y Márquez, 2025</w:t>
      </w:r>
      <w:r w:rsidRPr="00041B5E">
        <w:rPr>
          <w:rFonts w:ascii="Times New Roman" w:hAnsi="Times New Roman"/>
          <w:lang w:val="es-ES"/>
        </w:rPr>
        <w:t>): a) la necesidad de algunos estudiantes de trabajar para sostener a sus familias, lo que reduce su tiempo y energía para estudiar; b) la falta de recursos para pagar la matrícula, libros, materiales escolares, transporte y otros requisitos para la educación superior; c) la desigualdad en el acceso a una educación de calidad, en función de su origen social y económico; y d) los estudiantes que viven en entornos socioeconómicos desfavorecidos pueden enfrentar mayores dificultades para permanecer en la educación universitaria.</w:t>
      </w:r>
    </w:p>
    <w:p w14:paraId="583AA935" w14:textId="77777777" w:rsidR="00041B5E" w:rsidRPr="00041B5E" w:rsidRDefault="00041B5E" w:rsidP="00041B5E">
      <w:pPr>
        <w:jc w:val="both"/>
        <w:rPr>
          <w:rFonts w:ascii="Times New Roman" w:hAnsi="Times New Roman"/>
          <w:lang w:val="es-ES"/>
        </w:rPr>
      </w:pPr>
    </w:p>
    <w:p w14:paraId="476FCCC4" w14:textId="1B3C496E" w:rsidR="00617AFD" w:rsidRDefault="00153674" w:rsidP="00041B5E">
      <w:pPr>
        <w:jc w:val="both"/>
        <w:rPr>
          <w:rFonts w:ascii="Times New Roman" w:hAnsi="Times New Roman"/>
          <w:lang w:val="es-ES"/>
        </w:rPr>
      </w:pPr>
      <w:r w:rsidRPr="00041B5E">
        <w:rPr>
          <w:rFonts w:ascii="Times New Roman" w:hAnsi="Times New Roman"/>
          <w:lang w:val="es-ES"/>
        </w:rPr>
        <w:t>Por otro lado, según la Organización para la Cooperación y el Desarrollo Económicos (OCDE, 2025</w:t>
      </w:r>
      <w:r w:rsidR="001663A6" w:rsidRPr="00041B5E">
        <w:rPr>
          <w:rFonts w:ascii="Times New Roman" w:hAnsi="Times New Roman"/>
          <w:lang w:val="es-ES"/>
        </w:rPr>
        <w:t>a</w:t>
      </w:r>
      <w:r w:rsidRPr="00041B5E">
        <w:rPr>
          <w:rFonts w:ascii="Times New Roman" w:hAnsi="Times New Roman"/>
          <w:lang w:val="es-ES"/>
        </w:rPr>
        <w:t xml:space="preserve">), la educación superior en México ha crecido en los últimos años. Durante el período comprendido entre </w:t>
      </w:r>
      <w:r w:rsidRPr="00041B5E">
        <w:rPr>
          <w:rFonts w:ascii="Times New Roman" w:hAnsi="Times New Roman"/>
          <w:lang w:val="es-ES"/>
        </w:rPr>
        <w:lastRenderedPageBreak/>
        <w:t xml:space="preserve">2007 y 2023, la tasa de conclusión </w:t>
      </w:r>
      <w:r w:rsidR="00617AFD" w:rsidRPr="00041B5E">
        <w:rPr>
          <w:rFonts w:ascii="Times New Roman" w:hAnsi="Times New Roman"/>
          <w:lang w:val="es-ES"/>
        </w:rPr>
        <w:t>universitaria</w:t>
      </w:r>
      <w:r w:rsidRPr="00041B5E">
        <w:rPr>
          <w:rFonts w:ascii="Times New Roman" w:hAnsi="Times New Roman"/>
          <w:lang w:val="es-ES"/>
        </w:rPr>
        <w:t xml:space="preserve"> en adultos jóvenes experimentó un incremento del 16 al 24%. Si bien esta cifra aún se encuentra por debajo del promedio de la OCDE del 44%, México ha realizado esfuerzos considerables para diversificar la oferta de educación superior a través de instituciones públicas y privadas. </w:t>
      </w:r>
    </w:p>
    <w:p w14:paraId="4BD223E7" w14:textId="77777777" w:rsidR="00041B5E" w:rsidRPr="00041B5E" w:rsidRDefault="00041B5E" w:rsidP="00041B5E">
      <w:pPr>
        <w:jc w:val="both"/>
        <w:rPr>
          <w:rFonts w:ascii="Times New Roman" w:hAnsi="Times New Roman"/>
          <w:lang w:val="es-ES"/>
        </w:rPr>
      </w:pPr>
    </w:p>
    <w:p w14:paraId="14068609" w14:textId="423E02E5" w:rsidR="00153674" w:rsidRPr="00041B5E" w:rsidRDefault="00153674" w:rsidP="00041B5E">
      <w:pPr>
        <w:jc w:val="both"/>
        <w:rPr>
          <w:rFonts w:ascii="Times New Roman" w:hAnsi="Times New Roman" w:cs="Times New Roman"/>
          <w:lang w:val="es-ES"/>
        </w:rPr>
      </w:pPr>
      <w:r w:rsidRPr="00041B5E">
        <w:rPr>
          <w:rFonts w:ascii="Times New Roman" w:hAnsi="Times New Roman"/>
          <w:lang w:val="es-ES"/>
        </w:rPr>
        <w:t xml:space="preserve">Los programas de apoyo financiero han contribuido </w:t>
      </w:r>
      <w:r w:rsidR="00617AFD" w:rsidRPr="00041B5E">
        <w:rPr>
          <w:rFonts w:ascii="Times New Roman" w:hAnsi="Times New Roman"/>
          <w:lang w:val="es-ES"/>
        </w:rPr>
        <w:t xml:space="preserve">también </w:t>
      </w:r>
      <w:r w:rsidRPr="00041B5E">
        <w:rPr>
          <w:rFonts w:ascii="Times New Roman" w:hAnsi="Times New Roman"/>
          <w:lang w:val="es-ES"/>
        </w:rPr>
        <w:t>a aumentar el acceso a la educación en regiones y grupos de</w:t>
      </w:r>
      <w:r w:rsidR="00617AFD" w:rsidRPr="00041B5E">
        <w:rPr>
          <w:rFonts w:ascii="Times New Roman" w:hAnsi="Times New Roman"/>
          <w:lang w:val="es-ES"/>
        </w:rPr>
        <w:t xml:space="preserve"> la</w:t>
      </w:r>
      <w:r w:rsidRPr="00041B5E">
        <w:rPr>
          <w:rFonts w:ascii="Times New Roman" w:hAnsi="Times New Roman"/>
          <w:lang w:val="es-ES"/>
        </w:rPr>
        <w:t xml:space="preserve"> población que anteriormente estaban desatendidos </w:t>
      </w:r>
      <w:r w:rsidR="00C176FF" w:rsidRPr="00041B5E">
        <w:rPr>
          <w:rFonts w:ascii="Times New Roman" w:hAnsi="Times New Roman"/>
          <w:lang w:val="es-ES"/>
        </w:rPr>
        <w:t>(OCDE, 2019</w:t>
      </w:r>
      <w:r w:rsidR="00A75C0E" w:rsidRPr="00041B5E">
        <w:rPr>
          <w:rFonts w:ascii="Times New Roman" w:hAnsi="Times New Roman"/>
          <w:lang w:val="es-ES"/>
        </w:rPr>
        <w:t>a</w:t>
      </w:r>
      <w:r w:rsidR="00C176FF" w:rsidRPr="00041B5E">
        <w:rPr>
          <w:rFonts w:ascii="Times New Roman" w:hAnsi="Times New Roman"/>
          <w:lang w:val="es-ES"/>
        </w:rPr>
        <w:t>; OCDE, 2025</w:t>
      </w:r>
      <w:r w:rsidR="001663A6" w:rsidRPr="00041B5E">
        <w:rPr>
          <w:rFonts w:ascii="Times New Roman" w:hAnsi="Times New Roman"/>
          <w:lang w:val="es-ES"/>
        </w:rPr>
        <w:t>a</w:t>
      </w:r>
      <w:r w:rsidR="00C176FF" w:rsidRPr="00041B5E">
        <w:rPr>
          <w:rFonts w:ascii="Times New Roman" w:hAnsi="Times New Roman"/>
          <w:lang w:val="es-ES"/>
        </w:rPr>
        <w:t>)</w:t>
      </w:r>
      <w:r w:rsidRPr="00041B5E">
        <w:rPr>
          <w:rFonts w:ascii="Times New Roman" w:hAnsi="Times New Roman"/>
          <w:lang w:val="es-ES"/>
        </w:rPr>
        <w:t xml:space="preserve">. Sin embargo, los subsistemas de educación superior, tanto públicos como </w:t>
      </w:r>
      <w:r w:rsidRPr="00041B5E">
        <w:rPr>
          <w:rFonts w:ascii="Times New Roman" w:hAnsi="Times New Roman" w:cs="Times New Roman"/>
          <w:lang w:val="es-ES"/>
        </w:rPr>
        <w:t xml:space="preserve">privados, siguen enfrentando numerosos desafíos, en particular en cuanto a la calidad y las tasas de </w:t>
      </w:r>
      <w:r w:rsidR="00E95C8B" w:rsidRPr="00041B5E">
        <w:rPr>
          <w:rFonts w:ascii="Times New Roman" w:hAnsi="Times New Roman" w:cs="Times New Roman"/>
          <w:lang w:val="es-ES"/>
        </w:rPr>
        <w:t>abandono</w:t>
      </w:r>
      <w:r w:rsidRPr="00041B5E">
        <w:rPr>
          <w:rFonts w:ascii="Times New Roman" w:hAnsi="Times New Roman" w:cs="Times New Roman"/>
          <w:lang w:val="es-ES"/>
        </w:rPr>
        <w:t xml:space="preserve"> escolar</w:t>
      </w:r>
      <w:r w:rsidR="00C176FF" w:rsidRPr="00041B5E">
        <w:rPr>
          <w:rFonts w:ascii="Times New Roman" w:hAnsi="Times New Roman" w:cs="Times New Roman"/>
          <w:lang w:val="es-ES"/>
        </w:rPr>
        <w:t xml:space="preserve"> (</w:t>
      </w:r>
      <w:r w:rsidR="00C176FF" w:rsidRPr="00041B5E">
        <w:rPr>
          <w:rFonts w:ascii="Times New Roman" w:eastAsia="MS Mincho" w:hAnsi="Times New Roman" w:cs="Times New Roman"/>
          <w:noProof/>
          <w:kern w:val="0"/>
          <w:lang w:val="es-MX"/>
          <w14:ligatures w14:val="none"/>
        </w:rPr>
        <w:t>Sánchez y Sianes, 2021; Rodríguez, 2024</w:t>
      </w:r>
      <w:r w:rsidR="00C176FF" w:rsidRPr="00041B5E">
        <w:rPr>
          <w:rFonts w:ascii="Times New Roman" w:hAnsi="Times New Roman" w:cs="Times New Roman"/>
          <w:lang w:val="es-MX"/>
        </w:rPr>
        <w:t>)</w:t>
      </w:r>
      <w:r w:rsidRPr="00041B5E">
        <w:rPr>
          <w:rFonts w:ascii="Times New Roman" w:hAnsi="Times New Roman" w:cs="Times New Roman"/>
          <w:lang w:val="es-ES"/>
        </w:rPr>
        <w:t>.</w:t>
      </w:r>
    </w:p>
    <w:p w14:paraId="4DEE7CF3" w14:textId="77777777" w:rsidR="006D5A8F" w:rsidRPr="00041B5E" w:rsidRDefault="006D5A8F" w:rsidP="00041B5E">
      <w:pPr>
        <w:jc w:val="both"/>
        <w:rPr>
          <w:rFonts w:ascii="Times New Roman" w:hAnsi="Times New Roman" w:cs="Times New Roman"/>
          <w:lang w:val="es-ES"/>
        </w:rPr>
      </w:pPr>
    </w:p>
    <w:p w14:paraId="100E7544" w14:textId="4805458A" w:rsidR="006D5A8F" w:rsidRDefault="008F5F3F" w:rsidP="00041B5E">
      <w:pPr>
        <w:jc w:val="center"/>
        <w:rPr>
          <w:rFonts w:ascii="Times New Roman" w:hAnsi="Times New Roman" w:cs="Times New Roman"/>
          <w:b/>
          <w:bCs/>
          <w:lang w:val="es-ES"/>
        </w:rPr>
      </w:pPr>
      <w:r w:rsidRPr="00041B5E">
        <w:rPr>
          <w:rFonts w:ascii="Times New Roman" w:hAnsi="Times New Roman" w:cs="Times New Roman"/>
          <w:b/>
          <w:bCs/>
          <w:lang w:val="es-ES"/>
        </w:rPr>
        <w:t xml:space="preserve">Abandono </w:t>
      </w:r>
      <w:r w:rsidR="00D53059" w:rsidRPr="00041B5E">
        <w:rPr>
          <w:rFonts w:ascii="Times New Roman" w:hAnsi="Times New Roman" w:cs="Times New Roman"/>
          <w:b/>
          <w:bCs/>
          <w:lang w:val="es-ES"/>
        </w:rPr>
        <w:t>escolar</w:t>
      </w:r>
    </w:p>
    <w:p w14:paraId="26846C11" w14:textId="77777777" w:rsidR="00041B5E" w:rsidRPr="00041B5E" w:rsidRDefault="00041B5E" w:rsidP="00041B5E">
      <w:pPr>
        <w:jc w:val="center"/>
        <w:rPr>
          <w:rFonts w:ascii="Times New Roman" w:hAnsi="Times New Roman" w:cs="Times New Roman"/>
          <w:b/>
          <w:bCs/>
          <w:lang w:val="es-ES"/>
        </w:rPr>
      </w:pPr>
    </w:p>
    <w:p w14:paraId="3CD09D0F" w14:textId="28EB5052" w:rsidR="008F5F3F" w:rsidRDefault="008F5F3F" w:rsidP="00041B5E">
      <w:pPr>
        <w:jc w:val="both"/>
        <w:rPr>
          <w:rFonts w:ascii="Times New Roman" w:hAnsi="Times New Roman" w:cs="Times New Roman"/>
          <w:lang w:val="es-ES"/>
        </w:rPr>
      </w:pPr>
      <w:r w:rsidRPr="00041B5E">
        <w:rPr>
          <w:rFonts w:ascii="Times New Roman" w:hAnsi="Times New Roman" w:cs="Times New Roman"/>
          <w:lang w:val="es-ES"/>
        </w:rPr>
        <w:t xml:space="preserve">La educación desempeña un papel fundamental al proporcionar a las personas los conocimientos, las habilidades y las competencias necesarias para participar en la sociedad y la economía, lo que puede mejorar la vida de las personas en áreas como la salud, la participación cívica y el interés político (Rodríguez, 2007; </w:t>
      </w:r>
      <w:r w:rsidRPr="00041B5E">
        <w:rPr>
          <w:rFonts w:ascii="Times New Roman" w:hAnsi="Times New Roman"/>
          <w:lang w:val="es-ES"/>
        </w:rPr>
        <w:t>OCDE, 2025</w:t>
      </w:r>
      <w:r w:rsidR="001663A6" w:rsidRPr="00041B5E">
        <w:rPr>
          <w:rFonts w:ascii="Times New Roman" w:hAnsi="Times New Roman"/>
          <w:lang w:val="es-ES"/>
        </w:rPr>
        <w:t>a</w:t>
      </w:r>
      <w:r w:rsidRPr="00041B5E">
        <w:rPr>
          <w:rFonts w:ascii="Times New Roman" w:hAnsi="Times New Roman" w:cs="Times New Roman"/>
          <w:lang w:val="es-ES"/>
        </w:rPr>
        <w:t>). Por lo tanto, una buena educación mejora considerablemente la probabilidad de encontrar trabajo y obtener ingresos suficientes para una buena calidad de vida. Las personas con un alto nivel educativo se ven menos afectadas por las tendencias del desempleo, generalmente porque su nivel educativo las hace más atractivas para la fuerza laboral (</w:t>
      </w:r>
      <w:r w:rsidRPr="00041B5E">
        <w:rPr>
          <w:rFonts w:ascii="Times New Roman" w:eastAsia="MS Mincho" w:hAnsi="Times New Roman" w:cs="Times New Roman"/>
          <w:noProof/>
          <w:kern w:val="0"/>
          <w:lang w:val="es-MX"/>
          <w14:ligatures w14:val="none"/>
        </w:rPr>
        <w:t>O</w:t>
      </w:r>
      <w:r w:rsidR="00770919" w:rsidRPr="00041B5E">
        <w:rPr>
          <w:rFonts w:ascii="Times New Roman" w:eastAsia="MS Mincho" w:hAnsi="Times New Roman" w:cs="Times New Roman"/>
          <w:noProof/>
          <w:kern w:val="0"/>
          <w:lang w:val="es-MX"/>
          <w14:ligatures w14:val="none"/>
        </w:rPr>
        <w:t>CDE</w:t>
      </w:r>
      <w:r w:rsidRPr="00041B5E">
        <w:rPr>
          <w:rFonts w:ascii="Times New Roman" w:hAnsi="Times New Roman" w:cs="Times New Roman"/>
          <w:lang w:val="es-MX"/>
        </w:rPr>
        <w:t>, 2019</w:t>
      </w:r>
      <w:r w:rsidR="00A75C0E" w:rsidRPr="00041B5E">
        <w:rPr>
          <w:rFonts w:ascii="Times New Roman" w:hAnsi="Times New Roman" w:cs="Times New Roman"/>
          <w:lang w:val="es-MX"/>
        </w:rPr>
        <w:t>b</w:t>
      </w:r>
      <w:r w:rsidRPr="00041B5E">
        <w:rPr>
          <w:rFonts w:ascii="Times New Roman" w:hAnsi="Times New Roman" w:cs="Times New Roman"/>
          <w:lang w:val="es-MX"/>
        </w:rPr>
        <w:t xml:space="preserve">; </w:t>
      </w:r>
      <w:r w:rsidRPr="00041B5E">
        <w:rPr>
          <w:rFonts w:ascii="Times New Roman" w:eastAsia="MS Mincho" w:hAnsi="Times New Roman" w:cs="Times New Roman"/>
          <w:noProof/>
          <w:kern w:val="0"/>
          <w:lang w:val="es-MX"/>
          <w14:ligatures w14:val="none"/>
        </w:rPr>
        <w:t>Garrido-Miranda y Polanco, 2020</w:t>
      </w:r>
      <w:r w:rsidRPr="00041B5E">
        <w:rPr>
          <w:rFonts w:ascii="Times New Roman" w:hAnsi="Times New Roman" w:cs="Times New Roman"/>
          <w:lang w:val="es-ES"/>
        </w:rPr>
        <w:t>).</w:t>
      </w:r>
    </w:p>
    <w:p w14:paraId="51DF9C94" w14:textId="77777777" w:rsidR="00041B5E" w:rsidRPr="00041B5E" w:rsidRDefault="00041B5E" w:rsidP="00041B5E">
      <w:pPr>
        <w:jc w:val="both"/>
        <w:rPr>
          <w:rFonts w:ascii="Times New Roman" w:hAnsi="Times New Roman" w:cs="Times New Roman"/>
          <w:lang w:val="es-ES"/>
        </w:rPr>
      </w:pPr>
    </w:p>
    <w:p w14:paraId="45FD59FD" w14:textId="2EEB0492" w:rsidR="008F5F3F" w:rsidRDefault="008F5F3F" w:rsidP="00041B5E">
      <w:pPr>
        <w:jc w:val="both"/>
        <w:rPr>
          <w:rFonts w:ascii="Times New Roman" w:hAnsi="Times New Roman" w:cs="Times New Roman"/>
          <w:lang w:val="es-ES"/>
        </w:rPr>
      </w:pPr>
      <w:r w:rsidRPr="00041B5E">
        <w:rPr>
          <w:rFonts w:ascii="Times New Roman" w:hAnsi="Times New Roman" w:cs="Times New Roman"/>
          <w:lang w:val="es-ES"/>
        </w:rPr>
        <w:t xml:space="preserve">Por otro lado, el nivel educativo en países de ingresos </w:t>
      </w:r>
      <w:r w:rsidR="00A75C0E" w:rsidRPr="00041B5E">
        <w:rPr>
          <w:rFonts w:ascii="Times New Roman" w:hAnsi="Times New Roman" w:cs="Times New Roman"/>
          <w:lang w:val="es-ES"/>
        </w:rPr>
        <w:t xml:space="preserve">económicos </w:t>
      </w:r>
      <w:r w:rsidRPr="00041B5E">
        <w:rPr>
          <w:rFonts w:ascii="Times New Roman" w:hAnsi="Times New Roman" w:cs="Times New Roman"/>
          <w:lang w:val="es-ES"/>
        </w:rPr>
        <w:t xml:space="preserve">bajos y medios es importante para determinar el éxito futuro. En estos países, las tasas de </w:t>
      </w:r>
      <w:r w:rsidR="00770919" w:rsidRPr="00041B5E">
        <w:rPr>
          <w:rFonts w:ascii="Times New Roman" w:hAnsi="Times New Roman" w:cs="Times New Roman"/>
          <w:lang w:val="es-ES"/>
        </w:rPr>
        <w:t>abandono universitario</w:t>
      </w:r>
      <w:r w:rsidRPr="00041B5E">
        <w:rPr>
          <w:rFonts w:ascii="Times New Roman" w:hAnsi="Times New Roman" w:cs="Times New Roman"/>
          <w:lang w:val="es-ES"/>
        </w:rPr>
        <w:t xml:space="preserve"> suelen estar influenciadas por las limitaciones de ingresos, las estructuras institucionales y el compromiso de padres y docentes. </w:t>
      </w:r>
      <w:r w:rsidR="00770919" w:rsidRPr="00041B5E">
        <w:rPr>
          <w:rFonts w:ascii="Times New Roman" w:hAnsi="Times New Roman" w:cs="Times New Roman"/>
          <w:lang w:val="es-ES"/>
        </w:rPr>
        <w:t xml:space="preserve">El abandono </w:t>
      </w:r>
      <w:r w:rsidRPr="00041B5E">
        <w:rPr>
          <w:rFonts w:ascii="Times New Roman" w:hAnsi="Times New Roman" w:cs="Times New Roman"/>
          <w:lang w:val="es-ES"/>
        </w:rPr>
        <w:t>escolar ocurre con mayor frecuencia en la educación secundaria</w:t>
      </w:r>
      <w:r w:rsidR="00A75C0E" w:rsidRPr="00041B5E">
        <w:rPr>
          <w:rFonts w:ascii="Times New Roman" w:hAnsi="Times New Roman" w:cs="Times New Roman"/>
          <w:lang w:val="es-ES"/>
        </w:rPr>
        <w:t>, preparatoria</w:t>
      </w:r>
      <w:r w:rsidRPr="00041B5E">
        <w:rPr>
          <w:rFonts w:ascii="Times New Roman" w:hAnsi="Times New Roman" w:cs="Times New Roman"/>
          <w:lang w:val="es-ES"/>
        </w:rPr>
        <w:t xml:space="preserve"> y </w:t>
      </w:r>
      <w:r w:rsidR="00A75C0E" w:rsidRPr="00041B5E">
        <w:rPr>
          <w:rFonts w:ascii="Times New Roman" w:hAnsi="Times New Roman" w:cs="Times New Roman"/>
          <w:lang w:val="es-ES"/>
        </w:rPr>
        <w:t>superior</w:t>
      </w:r>
      <w:r w:rsidRPr="00041B5E">
        <w:rPr>
          <w:rFonts w:ascii="Times New Roman" w:hAnsi="Times New Roman" w:cs="Times New Roman"/>
          <w:lang w:val="es-ES"/>
        </w:rPr>
        <w:t xml:space="preserve">, cuando los estudiantes pueden decidir por sí mismos si </w:t>
      </w:r>
      <w:r w:rsidR="00770919" w:rsidRPr="00041B5E">
        <w:rPr>
          <w:rFonts w:ascii="Times New Roman" w:hAnsi="Times New Roman" w:cs="Times New Roman"/>
          <w:lang w:val="es-ES"/>
        </w:rPr>
        <w:t>suspenden</w:t>
      </w:r>
      <w:r w:rsidRPr="00041B5E">
        <w:rPr>
          <w:rFonts w:ascii="Times New Roman" w:hAnsi="Times New Roman" w:cs="Times New Roman"/>
          <w:lang w:val="es-ES"/>
        </w:rPr>
        <w:t xml:space="preserve"> los estudios. Esto plantea interrogantes sobre la capacidad de los jóvenes para tomar decisiones cruciales</w:t>
      </w:r>
      <w:r w:rsidR="00A75C0E" w:rsidRPr="00041B5E">
        <w:rPr>
          <w:rFonts w:ascii="Times New Roman" w:hAnsi="Times New Roman" w:cs="Times New Roman"/>
          <w:lang w:val="es-ES"/>
        </w:rPr>
        <w:t xml:space="preserve"> (</w:t>
      </w:r>
      <w:r w:rsidR="00CD2C27" w:rsidRPr="00041B5E">
        <w:rPr>
          <w:rFonts w:ascii="Times New Roman" w:hAnsi="Times New Roman" w:cs="Times New Roman"/>
          <w:lang w:val="es-ES"/>
        </w:rPr>
        <w:t xml:space="preserve">Miranda, 2018; </w:t>
      </w:r>
      <w:r w:rsidR="0059458D" w:rsidRPr="00041B5E">
        <w:rPr>
          <w:rFonts w:ascii="Times New Roman" w:hAnsi="Times New Roman" w:cs="Times New Roman"/>
          <w:lang w:val="es-ES"/>
        </w:rPr>
        <w:t xml:space="preserve">Avitabile </w:t>
      </w:r>
      <w:r w:rsidR="0059458D" w:rsidRPr="00041B5E">
        <w:rPr>
          <w:rFonts w:ascii="Times New Roman" w:hAnsi="Times New Roman" w:cs="Times New Roman"/>
          <w:i/>
          <w:iCs/>
          <w:lang w:val="es-ES"/>
        </w:rPr>
        <w:t>et al</w:t>
      </w:r>
      <w:r w:rsidR="0059458D" w:rsidRPr="00041B5E">
        <w:rPr>
          <w:rFonts w:ascii="Times New Roman" w:hAnsi="Times New Roman" w:cs="Times New Roman"/>
          <w:lang w:val="es-ES"/>
        </w:rPr>
        <w:t>., 20</w:t>
      </w:r>
      <w:r w:rsidR="00EC2ADA" w:rsidRPr="00041B5E">
        <w:rPr>
          <w:rFonts w:ascii="Times New Roman" w:hAnsi="Times New Roman" w:cs="Times New Roman"/>
          <w:lang w:val="es-ES"/>
        </w:rPr>
        <w:t>22</w:t>
      </w:r>
      <w:r w:rsidR="00A75C0E" w:rsidRPr="00041B5E">
        <w:rPr>
          <w:rFonts w:ascii="Times New Roman" w:hAnsi="Times New Roman" w:cs="Times New Roman"/>
          <w:lang w:val="es-ES"/>
        </w:rPr>
        <w:t>)</w:t>
      </w:r>
      <w:r w:rsidRPr="00041B5E">
        <w:rPr>
          <w:rFonts w:ascii="Times New Roman" w:hAnsi="Times New Roman" w:cs="Times New Roman"/>
          <w:lang w:val="es-ES"/>
        </w:rPr>
        <w:t xml:space="preserve">. Estos estudiantes pueden tener dificultades para vincular las decisiones con sus consecuencias o ser susceptibles a la presión social. Abandonar la </w:t>
      </w:r>
      <w:r w:rsidR="00A75C0E" w:rsidRPr="00041B5E">
        <w:rPr>
          <w:rFonts w:ascii="Times New Roman" w:hAnsi="Times New Roman" w:cs="Times New Roman"/>
          <w:lang w:val="es-ES"/>
        </w:rPr>
        <w:t>universidad</w:t>
      </w:r>
      <w:r w:rsidRPr="00041B5E">
        <w:rPr>
          <w:rFonts w:ascii="Times New Roman" w:hAnsi="Times New Roman" w:cs="Times New Roman"/>
          <w:lang w:val="es-ES"/>
        </w:rPr>
        <w:t xml:space="preserve"> para aceptar un trabajo poco cualificado y ganar dinero es tentador para los estudiantes a esa edad, pero difícil de revertir y puede tener impactos duraderos en los salarios, la movilidad social y el bienestar </w:t>
      </w:r>
      <w:r w:rsidR="00A75C0E" w:rsidRPr="00041B5E">
        <w:rPr>
          <w:rFonts w:ascii="Times New Roman" w:hAnsi="Times New Roman" w:cs="Times New Roman"/>
          <w:lang w:val="es-ES"/>
        </w:rPr>
        <w:t>(González, 2015; Ramírez y Cázares, 2024)</w:t>
      </w:r>
      <w:r w:rsidRPr="00041B5E">
        <w:rPr>
          <w:rFonts w:ascii="Times New Roman" w:hAnsi="Times New Roman" w:cs="Times New Roman"/>
          <w:lang w:val="es-ES"/>
        </w:rPr>
        <w:t>.</w:t>
      </w:r>
    </w:p>
    <w:p w14:paraId="6B7FE02B" w14:textId="77777777" w:rsidR="00041B5E" w:rsidRPr="00041B5E" w:rsidRDefault="00041B5E" w:rsidP="00041B5E">
      <w:pPr>
        <w:jc w:val="both"/>
        <w:rPr>
          <w:rFonts w:ascii="Times New Roman" w:hAnsi="Times New Roman" w:cs="Times New Roman"/>
          <w:lang w:val="es-ES"/>
        </w:rPr>
      </w:pPr>
    </w:p>
    <w:p w14:paraId="5247A8A7" w14:textId="66752A09" w:rsidR="00293C12" w:rsidRDefault="008F5F3F" w:rsidP="00041B5E">
      <w:pPr>
        <w:jc w:val="both"/>
        <w:rPr>
          <w:rFonts w:ascii="Times New Roman" w:hAnsi="Times New Roman" w:cs="Times New Roman"/>
          <w:lang w:val="es-ES"/>
        </w:rPr>
      </w:pPr>
      <w:r w:rsidRPr="00041B5E">
        <w:rPr>
          <w:rFonts w:ascii="Times New Roman" w:hAnsi="Times New Roman" w:cs="Times New Roman"/>
          <w:lang w:val="es-ES"/>
        </w:rPr>
        <w:t xml:space="preserve">Si bien México busca lograr </w:t>
      </w:r>
      <w:r w:rsidR="00130DC5" w:rsidRPr="00041B5E">
        <w:rPr>
          <w:rFonts w:ascii="Times New Roman" w:hAnsi="Times New Roman" w:cs="Times New Roman"/>
          <w:lang w:val="es-ES"/>
        </w:rPr>
        <w:t>una</w:t>
      </w:r>
      <w:r w:rsidRPr="00041B5E">
        <w:rPr>
          <w:rFonts w:ascii="Times New Roman" w:hAnsi="Times New Roman" w:cs="Times New Roman"/>
          <w:lang w:val="es-ES"/>
        </w:rPr>
        <w:t xml:space="preserve"> matrícula universal en educación básica (primaria y secundaria), también enfrenta el reto de retener a los estudiantes en la educación superior, lo cual sigue siendo una prioridad. Según datos oficiales </w:t>
      </w:r>
      <w:r w:rsidR="00130DC5" w:rsidRPr="00041B5E">
        <w:rPr>
          <w:rFonts w:ascii="Times New Roman" w:hAnsi="Times New Roman" w:cs="Times New Roman"/>
          <w:lang w:val="es-ES"/>
        </w:rPr>
        <w:t xml:space="preserve">(Avitabile </w:t>
      </w:r>
      <w:r w:rsidR="00130DC5" w:rsidRPr="00041B5E">
        <w:rPr>
          <w:rFonts w:ascii="Times New Roman" w:hAnsi="Times New Roman" w:cs="Times New Roman"/>
          <w:i/>
          <w:iCs/>
          <w:lang w:val="es-ES"/>
        </w:rPr>
        <w:t>et al</w:t>
      </w:r>
      <w:r w:rsidR="00130DC5" w:rsidRPr="00041B5E">
        <w:rPr>
          <w:rFonts w:ascii="Times New Roman" w:hAnsi="Times New Roman" w:cs="Times New Roman"/>
          <w:lang w:val="es-ES"/>
        </w:rPr>
        <w:t xml:space="preserve">., 2016; </w:t>
      </w:r>
      <w:r w:rsidR="00130DC5" w:rsidRPr="00041B5E">
        <w:rPr>
          <w:rFonts w:ascii="Times New Roman" w:hAnsi="Times New Roman"/>
          <w:lang w:val="es-ES"/>
        </w:rPr>
        <w:t>OCDE, 2025</w:t>
      </w:r>
      <w:r w:rsidR="001663A6" w:rsidRPr="00041B5E">
        <w:rPr>
          <w:rFonts w:ascii="Times New Roman" w:hAnsi="Times New Roman"/>
          <w:lang w:val="es-ES"/>
        </w:rPr>
        <w:t>a</w:t>
      </w:r>
      <w:r w:rsidR="00130DC5" w:rsidRPr="00041B5E">
        <w:rPr>
          <w:rFonts w:ascii="Times New Roman" w:hAnsi="Times New Roman" w:cs="Times New Roman"/>
          <w:lang w:val="es-ES"/>
        </w:rPr>
        <w:t>)</w:t>
      </w:r>
      <w:r w:rsidRPr="00041B5E">
        <w:rPr>
          <w:rFonts w:ascii="Times New Roman" w:hAnsi="Times New Roman" w:cs="Times New Roman"/>
          <w:lang w:val="es-ES"/>
        </w:rPr>
        <w:t xml:space="preserve">, más del 35% de los estudiantes que se matriculan en educación secundaria y superior no se gradúan. Entre quienes sí se gradúan, muchos terminan con competencias </w:t>
      </w:r>
      <w:r w:rsidR="00293C12" w:rsidRPr="00041B5E">
        <w:rPr>
          <w:rFonts w:ascii="Times New Roman" w:hAnsi="Times New Roman" w:cs="Times New Roman"/>
          <w:lang w:val="es-ES"/>
        </w:rPr>
        <w:t>académicas y profesionales</w:t>
      </w:r>
      <w:r w:rsidR="00293C12" w:rsidRPr="00C903A8">
        <w:rPr>
          <w:rFonts w:ascii="Times New Roman" w:hAnsi="Times New Roman" w:cs="Times New Roman"/>
          <w:lang w:val="es-ES"/>
        </w:rPr>
        <w:t xml:space="preserve"> </w:t>
      </w:r>
      <w:r w:rsidRPr="00C903A8">
        <w:rPr>
          <w:rFonts w:ascii="Times New Roman" w:hAnsi="Times New Roman" w:cs="Times New Roman"/>
          <w:lang w:val="es-ES"/>
        </w:rPr>
        <w:t>insuficientes; es decir, más de la mitad termina con niveles de rendimiento insuficientes.</w:t>
      </w:r>
      <w:r w:rsidR="00130DC5" w:rsidRPr="00C903A8">
        <w:rPr>
          <w:rFonts w:ascii="Times New Roman" w:hAnsi="Times New Roman" w:cs="Times New Roman"/>
          <w:lang w:val="es-ES"/>
        </w:rPr>
        <w:t xml:space="preserve"> </w:t>
      </w:r>
    </w:p>
    <w:p w14:paraId="4378E105" w14:textId="77777777" w:rsidR="00041B5E" w:rsidRPr="00C903A8" w:rsidRDefault="00041B5E" w:rsidP="00041B5E">
      <w:pPr>
        <w:jc w:val="both"/>
        <w:rPr>
          <w:rFonts w:ascii="Times New Roman" w:hAnsi="Times New Roman" w:cs="Times New Roman"/>
          <w:lang w:val="es-ES"/>
        </w:rPr>
      </w:pPr>
    </w:p>
    <w:p w14:paraId="7AC86E60" w14:textId="5A57EBCA" w:rsidR="008F5F3F" w:rsidRPr="00C903A8" w:rsidRDefault="008F5F3F" w:rsidP="00041B5E">
      <w:pPr>
        <w:jc w:val="both"/>
        <w:rPr>
          <w:rFonts w:ascii="Times New Roman" w:hAnsi="Times New Roman" w:cs="Times New Roman"/>
          <w:lang w:val="es-ES"/>
        </w:rPr>
      </w:pPr>
      <w:r w:rsidRPr="00C903A8">
        <w:rPr>
          <w:rFonts w:ascii="Times New Roman" w:hAnsi="Times New Roman" w:cs="Times New Roman"/>
          <w:lang w:val="es-ES"/>
        </w:rPr>
        <w:t>Las razones de</w:t>
      </w:r>
      <w:r w:rsidR="00293C12" w:rsidRPr="00C903A8">
        <w:rPr>
          <w:rFonts w:ascii="Times New Roman" w:hAnsi="Times New Roman" w:cs="Times New Roman"/>
          <w:lang w:val="es-ES"/>
        </w:rPr>
        <w:t xml:space="preserve">l abandono universitario </w:t>
      </w:r>
      <w:r w:rsidRPr="00C903A8">
        <w:rPr>
          <w:rFonts w:ascii="Times New Roman" w:hAnsi="Times New Roman" w:cs="Times New Roman"/>
          <w:lang w:val="es-ES"/>
        </w:rPr>
        <w:t xml:space="preserve">incluyen recursos financieros limitados, falta de información sobre los futuros retornos de la educación y la escasa relevancia del contenido educativo para los resultados en el mercado laboral. Para combatir las tasas de </w:t>
      </w:r>
      <w:r w:rsidR="00293C12" w:rsidRPr="00C903A8">
        <w:rPr>
          <w:rFonts w:ascii="Times New Roman" w:hAnsi="Times New Roman" w:cs="Times New Roman"/>
          <w:lang w:val="es-ES"/>
        </w:rPr>
        <w:t>abandono</w:t>
      </w:r>
      <w:r w:rsidRPr="00C903A8">
        <w:rPr>
          <w:rFonts w:ascii="Times New Roman" w:hAnsi="Times New Roman" w:cs="Times New Roman"/>
          <w:lang w:val="es-ES"/>
        </w:rPr>
        <w:t xml:space="preserve">, la Secretaría de Educación Pública de México busca alentar a los estudiantes a tomar decisiones informadas y mejorar su preparación académica ante el riesgo de deserción </w:t>
      </w:r>
      <w:r w:rsidR="00130DC5" w:rsidRPr="00C903A8">
        <w:rPr>
          <w:rFonts w:ascii="Times New Roman" w:hAnsi="Times New Roman" w:cs="Times New Roman"/>
          <w:lang w:val="es-ES"/>
        </w:rPr>
        <w:t>(O</w:t>
      </w:r>
      <w:r w:rsidR="00293C12" w:rsidRPr="00C903A8">
        <w:rPr>
          <w:rFonts w:ascii="Times New Roman" w:hAnsi="Times New Roman" w:cs="Times New Roman"/>
          <w:lang w:val="es-ES"/>
        </w:rPr>
        <w:t>CDE</w:t>
      </w:r>
      <w:r w:rsidR="00130DC5" w:rsidRPr="00C903A8">
        <w:rPr>
          <w:rFonts w:ascii="Times New Roman" w:hAnsi="Times New Roman" w:cs="Times New Roman"/>
          <w:lang w:val="es-ES"/>
        </w:rPr>
        <w:t>, 202</w:t>
      </w:r>
      <w:r w:rsidR="001663A6" w:rsidRPr="00C903A8">
        <w:rPr>
          <w:rFonts w:ascii="Times New Roman" w:hAnsi="Times New Roman" w:cs="Times New Roman"/>
          <w:lang w:val="es-ES"/>
        </w:rPr>
        <w:t>5b</w:t>
      </w:r>
      <w:r w:rsidR="00130DC5" w:rsidRPr="00C903A8">
        <w:rPr>
          <w:rFonts w:ascii="Times New Roman" w:hAnsi="Times New Roman" w:cs="Times New Roman"/>
          <w:lang w:val="es-ES"/>
        </w:rPr>
        <w:t>)</w:t>
      </w:r>
      <w:r w:rsidRPr="00C903A8">
        <w:rPr>
          <w:rFonts w:ascii="Times New Roman" w:hAnsi="Times New Roman" w:cs="Times New Roman"/>
          <w:lang w:val="es-ES"/>
        </w:rPr>
        <w:t>.</w:t>
      </w:r>
    </w:p>
    <w:p w14:paraId="28FDAB13" w14:textId="77777777" w:rsidR="00040282" w:rsidRPr="00C903A8" w:rsidRDefault="00040282" w:rsidP="00C903A8">
      <w:pPr>
        <w:ind w:firstLine="720"/>
        <w:jc w:val="both"/>
        <w:rPr>
          <w:rFonts w:ascii="Times New Roman" w:hAnsi="Times New Roman" w:cs="Times New Roman"/>
          <w:lang w:val="es-ES"/>
        </w:rPr>
      </w:pPr>
    </w:p>
    <w:p w14:paraId="32E5AA8E" w14:textId="0BC5C7B6" w:rsidR="00040282" w:rsidRPr="00041B5E" w:rsidRDefault="00040282" w:rsidP="00C903A8">
      <w:pPr>
        <w:jc w:val="center"/>
        <w:rPr>
          <w:rFonts w:ascii="Times New Roman" w:hAnsi="Times New Roman" w:cs="Times New Roman"/>
          <w:b/>
          <w:bCs/>
          <w:lang w:val="es-ES"/>
        </w:rPr>
      </w:pPr>
      <w:r w:rsidRPr="00041B5E">
        <w:rPr>
          <w:rFonts w:ascii="Times New Roman" w:hAnsi="Times New Roman" w:cs="Times New Roman"/>
          <w:b/>
          <w:bCs/>
          <w:lang w:val="es-ES"/>
        </w:rPr>
        <w:t xml:space="preserve">Causas del </w:t>
      </w:r>
      <w:r w:rsidR="00E95C8B" w:rsidRPr="00041B5E">
        <w:rPr>
          <w:rFonts w:ascii="Times New Roman" w:hAnsi="Times New Roman" w:cs="Times New Roman"/>
          <w:b/>
          <w:bCs/>
          <w:lang w:val="es-ES"/>
        </w:rPr>
        <w:t>abandono</w:t>
      </w:r>
      <w:r w:rsidRPr="00041B5E">
        <w:rPr>
          <w:rFonts w:ascii="Times New Roman" w:hAnsi="Times New Roman" w:cs="Times New Roman"/>
          <w:b/>
          <w:bCs/>
          <w:lang w:val="es-ES"/>
        </w:rPr>
        <w:t xml:space="preserve"> escolar</w:t>
      </w:r>
    </w:p>
    <w:p w14:paraId="39947D8E" w14:textId="77777777" w:rsidR="00041B5E" w:rsidRDefault="00041B5E" w:rsidP="00041B5E">
      <w:pPr>
        <w:jc w:val="both"/>
        <w:rPr>
          <w:rFonts w:ascii="Times New Roman" w:hAnsi="Times New Roman" w:cs="Times New Roman"/>
          <w:lang w:val="es-ES"/>
        </w:rPr>
      </w:pPr>
    </w:p>
    <w:p w14:paraId="1E405474" w14:textId="1CDF322C" w:rsidR="00040282" w:rsidRDefault="00040282" w:rsidP="00041B5E">
      <w:pPr>
        <w:jc w:val="both"/>
        <w:rPr>
          <w:rFonts w:ascii="Times New Roman" w:hAnsi="Times New Roman" w:cs="Times New Roman"/>
          <w:lang w:val="es-ES"/>
        </w:rPr>
      </w:pPr>
      <w:r w:rsidRPr="00C903A8">
        <w:rPr>
          <w:rFonts w:ascii="Times New Roman" w:hAnsi="Times New Roman" w:cs="Times New Roman"/>
          <w:lang w:val="es-ES"/>
        </w:rPr>
        <w:t xml:space="preserve">En México y otras partes del mundo, </w:t>
      </w:r>
      <w:r w:rsidR="00DE6811" w:rsidRPr="00C903A8">
        <w:rPr>
          <w:rFonts w:ascii="Times New Roman" w:hAnsi="Times New Roman" w:cs="Times New Roman"/>
          <w:lang w:val="es-ES"/>
        </w:rPr>
        <w:t>el abandono</w:t>
      </w:r>
      <w:r w:rsidRPr="00C903A8">
        <w:rPr>
          <w:rFonts w:ascii="Times New Roman" w:hAnsi="Times New Roman" w:cs="Times New Roman"/>
          <w:lang w:val="es-ES"/>
        </w:rPr>
        <w:t xml:space="preserve"> </w:t>
      </w:r>
      <w:r w:rsidR="005A68B6" w:rsidRPr="00C903A8">
        <w:rPr>
          <w:rFonts w:ascii="Times New Roman" w:hAnsi="Times New Roman" w:cs="Times New Roman"/>
          <w:lang w:val="es-ES"/>
        </w:rPr>
        <w:t>universitario</w:t>
      </w:r>
      <w:r w:rsidRPr="00C903A8">
        <w:rPr>
          <w:rFonts w:ascii="Times New Roman" w:hAnsi="Times New Roman" w:cs="Times New Roman"/>
          <w:lang w:val="es-ES"/>
        </w:rPr>
        <w:t xml:space="preserve"> es multicausal e involucra una combinación de factores individuales, familiares y escolares. Algunos de los factores que contribuyen </w:t>
      </w:r>
      <w:r w:rsidR="00DE6811" w:rsidRPr="00C903A8">
        <w:rPr>
          <w:rFonts w:ascii="Times New Roman" w:hAnsi="Times New Roman" w:cs="Times New Roman"/>
          <w:lang w:val="es-ES"/>
        </w:rPr>
        <w:t xml:space="preserve">a este abandono </w:t>
      </w:r>
      <w:r w:rsidRPr="00C903A8">
        <w:rPr>
          <w:rFonts w:ascii="Times New Roman" w:hAnsi="Times New Roman" w:cs="Times New Roman"/>
          <w:lang w:val="es-ES"/>
        </w:rPr>
        <w:t xml:space="preserve">son (Miranda, 2018; Ramírez y Cázares, 2024): i) a nivel individual, destacan los problemas de salud mental, las dificultades de aprendizaje y la falta de motivación; </w:t>
      </w:r>
      <w:proofErr w:type="spellStart"/>
      <w:r w:rsidRPr="00C903A8">
        <w:rPr>
          <w:rFonts w:ascii="Times New Roman" w:hAnsi="Times New Roman" w:cs="Times New Roman"/>
          <w:lang w:val="es-ES"/>
        </w:rPr>
        <w:t>ii</w:t>
      </w:r>
      <w:proofErr w:type="spellEnd"/>
      <w:r w:rsidRPr="00C903A8">
        <w:rPr>
          <w:rFonts w:ascii="Times New Roman" w:hAnsi="Times New Roman" w:cs="Times New Roman"/>
          <w:lang w:val="es-ES"/>
        </w:rPr>
        <w:t xml:space="preserve">) a nivel familiar, se encuentran la pobreza, la violencia doméstica y la falta de apoyo parental; finalmente, </w:t>
      </w:r>
      <w:proofErr w:type="spellStart"/>
      <w:r w:rsidRPr="00C903A8">
        <w:rPr>
          <w:rFonts w:ascii="Times New Roman" w:hAnsi="Times New Roman" w:cs="Times New Roman"/>
          <w:lang w:val="es-ES"/>
        </w:rPr>
        <w:t>iii</w:t>
      </w:r>
      <w:proofErr w:type="spellEnd"/>
      <w:r w:rsidRPr="00C903A8">
        <w:rPr>
          <w:rFonts w:ascii="Times New Roman" w:hAnsi="Times New Roman" w:cs="Times New Roman"/>
          <w:lang w:val="es-ES"/>
        </w:rPr>
        <w:t>) a nivel escolar, destacan la infraestructura inadecuada, la falta de recursos y la falta de capacitación docente.</w:t>
      </w:r>
    </w:p>
    <w:p w14:paraId="77739506" w14:textId="77777777" w:rsidR="00041B5E" w:rsidRPr="00C903A8" w:rsidRDefault="00041B5E" w:rsidP="00041B5E">
      <w:pPr>
        <w:jc w:val="both"/>
        <w:rPr>
          <w:rFonts w:ascii="Times New Roman" w:hAnsi="Times New Roman" w:cs="Times New Roman"/>
          <w:lang w:val="es-ES"/>
        </w:rPr>
      </w:pPr>
    </w:p>
    <w:p w14:paraId="24F4A6E1" w14:textId="1F302FFA" w:rsidR="00040282" w:rsidRDefault="00040282" w:rsidP="00041B5E">
      <w:pPr>
        <w:jc w:val="both"/>
        <w:rPr>
          <w:rFonts w:ascii="Times New Roman" w:hAnsi="Times New Roman" w:cs="Times New Roman"/>
          <w:lang w:val="es-ES"/>
        </w:rPr>
      </w:pPr>
      <w:r w:rsidRPr="00C903A8">
        <w:rPr>
          <w:rFonts w:ascii="Times New Roman" w:hAnsi="Times New Roman" w:cs="Times New Roman"/>
          <w:lang w:val="es-ES"/>
        </w:rPr>
        <w:t>En el caso de los estudiantes universitarios, muchos provienen de familias que no pueden mantenerlos económicamente durante sus estudios. Esto los obliga a elegir trabajos con largas jornadas e incluso bajos salarios, lo que afecta su rendimiento académico y puede llevarlos a abandonar la universidad. Además, aunque muchas universidades públicas no cobran matrículas elevadas, los costos indirectos, como el transporte, la alimentación, el alquiler, los materiales, el acceso a Internet, entre otros, son significativos y excluyen a los estudiantes de bajos recursos.</w:t>
      </w:r>
    </w:p>
    <w:p w14:paraId="45E8308F" w14:textId="77777777" w:rsidR="00041B5E" w:rsidRPr="00C903A8" w:rsidRDefault="00041B5E" w:rsidP="00041B5E">
      <w:pPr>
        <w:jc w:val="both"/>
        <w:rPr>
          <w:rFonts w:ascii="Times New Roman" w:hAnsi="Times New Roman" w:cs="Times New Roman"/>
          <w:lang w:val="es-ES"/>
        </w:rPr>
      </w:pPr>
    </w:p>
    <w:p w14:paraId="58B2DD2E" w14:textId="0A133971" w:rsidR="00040282" w:rsidRDefault="00040282" w:rsidP="00041B5E">
      <w:pPr>
        <w:jc w:val="both"/>
        <w:rPr>
          <w:rFonts w:ascii="Times New Roman" w:hAnsi="Times New Roman" w:cs="Times New Roman"/>
          <w:lang w:val="es-ES"/>
        </w:rPr>
      </w:pPr>
      <w:r w:rsidRPr="00C903A8">
        <w:rPr>
          <w:rFonts w:ascii="Times New Roman" w:hAnsi="Times New Roman" w:cs="Times New Roman"/>
          <w:lang w:val="es-ES"/>
        </w:rPr>
        <w:t>Es importante señalar que, si bien existen programas como Jóvenes Escribiendo el Futuro, las Becas Benito Juárez y becas universitarias, su cobertura es limitada y, a menudo, insuficiente para garantizar la continuidad académica de los estudiantes sin preocupaciones económicas</w:t>
      </w:r>
      <w:r w:rsidR="00094929" w:rsidRPr="00C903A8">
        <w:rPr>
          <w:rFonts w:ascii="Times New Roman" w:hAnsi="Times New Roman" w:cs="Times New Roman"/>
          <w:lang w:val="es-ES"/>
        </w:rPr>
        <w:t xml:space="preserve"> (Gobierno de México, 2025)</w:t>
      </w:r>
      <w:r w:rsidRPr="00C903A8">
        <w:rPr>
          <w:rFonts w:ascii="Times New Roman" w:hAnsi="Times New Roman" w:cs="Times New Roman"/>
          <w:lang w:val="es-ES"/>
        </w:rPr>
        <w:t xml:space="preserve">. La preocupación constante por el dinero </w:t>
      </w:r>
      <w:r w:rsidR="005B0B19" w:rsidRPr="00C903A8">
        <w:rPr>
          <w:rFonts w:ascii="Times New Roman" w:hAnsi="Times New Roman" w:cs="Times New Roman"/>
          <w:lang w:val="es-ES"/>
        </w:rPr>
        <w:t xml:space="preserve">puede </w:t>
      </w:r>
      <w:r w:rsidRPr="00C903A8">
        <w:rPr>
          <w:rFonts w:ascii="Times New Roman" w:hAnsi="Times New Roman" w:cs="Times New Roman"/>
          <w:lang w:val="es-ES"/>
        </w:rPr>
        <w:t>genera</w:t>
      </w:r>
      <w:r w:rsidR="005B0B19" w:rsidRPr="00C903A8">
        <w:rPr>
          <w:rFonts w:ascii="Times New Roman" w:hAnsi="Times New Roman" w:cs="Times New Roman"/>
          <w:lang w:val="es-ES"/>
        </w:rPr>
        <w:t>r</w:t>
      </w:r>
      <w:r w:rsidRPr="00C903A8">
        <w:rPr>
          <w:rFonts w:ascii="Times New Roman" w:hAnsi="Times New Roman" w:cs="Times New Roman"/>
          <w:lang w:val="es-ES"/>
        </w:rPr>
        <w:t xml:space="preserve"> ansiedad, estrés y agotamiento, lo que afecta la salud emocional y el rendimiento académico. Esto último puede llevar a un bajo rendimiento, reprobar materias o abandonar la escuela. </w:t>
      </w:r>
      <w:r w:rsidR="00DE6811" w:rsidRPr="00C903A8">
        <w:rPr>
          <w:rFonts w:ascii="Times New Roman" w:hAnsi="Times New Roman" w:cs="Times New Roman"/>
          <w:lang w:val="es-ES"/>
        </w:rPr>
        <w:t>Asimismo</w:t>
      </w:r>
      <w:r w:rsidRPr="00C903A8">
        <w:rPr>
          <w:rFonts w:ascii="Times New Roman" w:hAnsi="Times New Roman" w:cs="Times New Roman"/>
          <w:lang w:val="es-ES"/>
        </w:rPr>
        <w:t>, los estudiantes de zonas rurales o marginadas enfrentan mayores dificultades económicas y de movilidad. Algunos estudiantes deben mudarse a otras ciudades para estudiar, lo que implica costos adicionales de vivienda, alimentación y transporte.</w:t>
      </w:r>
    </w:p>
    <w:p w14:paraId="2D53A1A2" w14:textId="77777777" w:rsidR="00041B5E" w:rsidRPr="00C903A8" w:rsidRDefault="00041B5E" w:rsidP="00041B5E">
      <w:pPr>
        <w:jc w:val="both"/>
        <w:rPr>
          <w:rFonts w:ascii="Times New Roman" w:hAnsi="Times New Roman" w:cs="Times New Roman"/>
          <w:lang w:val="es-ES"/>
        </w:rPr>
      </w:pPr>
    </w:p>
    <w:p w14:paraId="6C506802" w14:textId="7B7CCF58" w:rsidR="008F5F3F" w:rsidRPr="00C903A8" w:rsidRDefault="00040282" w:rsidP="00041B5E">
      <w:pPr>
        <w:jc w:val="both"/>
        <w:rPr>
          <w:rFonts w:ascii="Times New Roman" w:hAnsi="Times New Roman" w:cs="Times New Roman"/>
          <w:lang w:val="es-ES"/>
        </w:rPr>
      </w:pPr>
      <w:r w:rsidRPr="00C903A8">
        <w:rPr>
          <w:rFonts w:ascii="Times New Roman" w:hAnsi="Times New Roman" w:cs="Times New Roman"/>
          <w:lang w:val="es-ES"/>
        </w:rPr>
        <w:t xml:space="preserve">Por lo tanto, las consecuencias del abandono universitario pueden conducir a la exclusión social, ya que los estudiantes que abandonan la universidad pueden sentirse aislados y excluidos de la sociedad. </w:t>
      </w:r>
      <w:r w:rsidR="00DE6811" w:rsidRPr="00C903A8">
        <w:rPr>
          <w:rFonts w:ascii="Times New Roman" w:hAnsi="Times New Roman" w:cs="Times New Roman"/>
          <w:lang w:val="es-ES"/>
        </w:rPr>
        <w:t>De igual manera</w:t>
      </w:r>
      <w:r w:rsidRPr="00C903A8">
        <w:rPr>
          <w:rFonts w:ascii="Times New Roman" w:hAnsi="Times New Roman" w:cs="Times New Roman"/>
          <w:lang w:val="es-ES"/>
        </w:rPr>
        <w:t xml:space="preserve">, el abandono </w:t>
      </w:r>
      <w:r w:rsidR="00DE6811" w:rsidRPr="00C903A8">
        <w:rPr>
          <w:rFonts w:ascii="Times New Roman" w:hAnsi="Times New Roman" w:cs="Times New Roman"/>
          <w:lang w:val="es-ES"/>
        </w:rPr>
        <w:t>universitario</w:t>
      </w:r>
      <w:r w:rsidRPr="00C903A8">
        <w:rPr>
          <w:rFonts w:ascii="Times New Roman" w:hAnsi="Times New Roman" w:cs="Times New Roman"/>
          <w:lang w:val="es-ES"/>
        </w:rPr>
        <w:t xml:space="preserve"> conlleva una falta de oportunidades laborales debido a la falta de educación, lo que puede perpetuar la pobreza y la desigualdad social (O</w:t>
      </w:r>
      <w:r w:rsidR="00DE6811" w:rsidRPr="00C903A8">
        <w:rPr>
          <w:rFonts w:ascii="Times New Roman" w:hAnsi="Times New Roman" w:cs="Times New Roman"/>
          <w:lang w:val="es-ES"/>
        </w:rPr>
        <w:t>CDE</w:t>
      </w:r>
      <w:r w:rsidRPr="00C903A8">
        <w:rPr>
          <w:rFonts w:ascii="Times New Roman" w:hAnsi="Times New Roman" w:cs="Times New Roman"/>
          <w:lang w:val="es-ES"/>
        </w:rPr>
        <w:t>, 202</w:t>
      </w:r>
      <w:r w:rsidR="001663A6" w:rsidRPr="00C903A8">
        <w:rPr>
          <w:rFonts w:ascii="Times New Roman" w:hAnsi="Times New Roman" w:cs="Times New Roman"/>
          <w:lang w:val="es-ES"/>
        </w:rPr>
        <w:t>5b</w:t>
      </w:r>
      <w:r w:rsidRPr="00C903A8">
        <w:rPr>
          <w:rFonts w:ascii="Times New Roman" w:hAnsi="Times New Roman" w:cs="Times New Roman"/>
          <w:lang w:val="es-ES"/>
        </w:rPr>
        <w:t xml:space="preserve">). </w:t>
      </w:r>
      <w:r w:rsidR="00DE6811" w:rsidRPr="00C903A8">
        <w:rPr>
          <w:rFonts w:ascii="Times New Roman" w:hAnsi="Times New Roman" w:cs="Times New Roman"/>
          <w:lang w:val="es-ES"/>
        </w:rPr>
        <w:t>Además</w:t>
      </w:r>
      <w:r w:rsidRPr="00C903A8">
        <w:rPr>
          <w:rFonts w:ascii="Times New Roman" w:hAnsi="Times New Roman" w:cs="Times New Roman"/>
          <w:lang w:val="es-ES"/>
        </w:rPr>
        <w:t>, algunos estudiantes no ven una rentabilidad real garantizada de su inversión educativa debido al desempleo o subempleo de los graduados, lo que desincentiva la permanencia universitaria si el esfuerzo económico es elevado.</w:t>
      </w:r>
    </w:p>
    <w:p w14:paraId="63882199" w14:textId="195E0A57" w:rsidR="008F5F3F" w:rsidRPr="00C903A8" w:rsidRDefault="008F5F3F" w:rsidP="00C903A8">
      <w:pPr>
        <w:ind w:firstLine="720"/>
        <w:jc w:val="both"/>
        <w:rPr>
          <w:rFonts w:ascii="Times New Roman" w:hAnsi="Times New Roman" w:cs="Times New Roman"/>
          <w:lang w:val="es-ES"/>
        </w:rPr>
      </w:pPr>
    </w:p>
    <w:p w14:paraId="70B6BA81" w14:textId="1782E188" w:rsidR="00040282" w:rsidRDefault="00040282" w:rsidP="00C903A8">
      <w:pPr>
        <w:jc w:val="center"/>
        <w:rPr>
          <w:rFonts w:ascii="Times New Roman" w:hAnsi="Times New Roman" w:cs="Times New Roman"/>
          <w:b/>
          <w:bCs/>
          <w:sz w:val="28"/>
          <w:szCs w:val="28"/>
          <w:lang w:val="es-ES"/>
        </w:rPr>
      </w:pPr>
      <w:r w:rsidRPr="00C903A8">
        <w:rPr>
          <w:rFonts w:ascii="Times New Roman" w:hAnsi="Times New Roman" w:cs="Times New Roman"/>
          <w:b/>
          <w:bCs/>
          <w:sz w:val="28"/>
          <w:szCs w:val="28"/>
          <w:lang w:val="es-ES"/>
        </w:rPr>
        <w:t>Inteligencia computacional</w:t>
      </w:r>
    </w:p>
    <w:p w14:paraId="42B11BBE" w14:textId="77777777" w:rsidR="00041B5E" w:rsidRDefault="00041B5E" w:rsidP="00041B5E">
      <w:pPr>
        <w:jc w:val="both"/>
        <w:rPr>
          <w:rFonts w:ascii="Times New Roman" w:hAnsi="Times New Roman" w:cs="Times New Roman"/>
          <w:b/>
          <w:bCs/>
          <w:sz w:val="28"/>
          <w:szCs w:val="28"/>
          <w:lang w:val="es-ES"/>
        </w:rPr>
      </w:pPr>
    </w:p>
    <w:p w14:paraId="47494FDE" w14:textId="2BC51486" w:rsidR="00040282" w:rsidRDefault="00040282" w:rsidP="00041B5E">
      <w:pPr>
        <w:jc w:val="both"/>
        <w:rPr>
          <w:rFonts w:ascii="Times New Roman" w:hAnsi="Times New Roman" w:cs="Times New Roman"/>
          <w:lang w:val="es-ES"/>
        </w:rPr>
      </w:pPr>
      <w:r w:rsidRPr="00C903A8">
        <w:rPr>
          <w:rFonts w:ascii="Times New Roman" w:hAnsi="Times New Roman" w:cs="Times New Roman"/>
          <w:lang w:val="es-ES"/>
        </w:rPr>
        <w:t xml:space="preserve">Para construir modelos de inteligencia computacional, que basan su funcionamiento en el descubrimiento de patrones a partir de </w:t>
      </w:r>
      <w:r w:rsidR="00D53059" w:rsidRPr="00C903A8">
        <w:rPr>
          <w:rFonts w:ascii="Times New Roman" w:hAnsi="Times New Roman" w:cs="Times New Roman"/>
          <w:lang w:val="es-ES"/>
        </w:rPr>
        <w:t>los datos</w:t>
      </w:r>
      <w:r w:rsidRPr="00C903A8">
        <w:rPr>
          <w:rFonts w:ascii="Times New Roman" w:hAnsi="Times New Roman" w:cs="Times New Roman"/>
          <w:lang w:val="es-ES"/>
        </w:rPr>
        <w:t xml:space="preserve">, algunos de los algoritmos más utilizados son los árboles de decisión y los bosques aleatorios. Mediante estos, se pueden resolver problemas de clasificación para construir una estructura jerárquica, eficiente y escalable basada en las condiciones (variables) establecidas en los datos. Para </w:t>
      </w:r>
      <w:r w:rsidR="00AB3FB7" w:rsidRPr="00C903A8">
        <w:rPr>
          <w:rFonts w:ascii="Times New Roman" w:hAnsi="Times New Roman" w:cs="Times New Roman"/>
          <w:lang w:val="es-ES"/>
        </w:rPr>
        <w:t>esto</w:t>
      </w:r>
      <w:r w:rsidRPr="00C903A8">
        <w:rPr>
          <w:rFonts w:ascii="Times New Roman" w:hAnsi="Times New Roman" w:cs="Times New Roman"/>
          <w:lang w:val="es-ES"/>
        </w:rPr>
        <w:t xml:space="preserve">, se utiliza la estrategia de </w:t>
      </w:r>
      <w:r w:rsidR="00D53059" w:rsidRPr="00C903A8">
        <w:rPr>
          <w:rFonts w:ascii="Times New Roman" w:hAnsi="Times New Roman" w:cs="Times New Roman"/>
          <w:lang w:val="es-ES"/>
        </w:rPr>
        <w:t>‘</w:t>
      </w:r>
      <w:r w:rsidRPr="00C903A8">
        <w:rPr>
          <w:rFonts w:ascii="Times New Roman" w:hAnsi="Times New Roman" w:cs="Times New Roman"/>
          <w:lang w:val="es-ES"/>
        </w:rPr>
        <w:t>divide y vencerás</w:t>
      </w:r>
      <w:r w:rsidR="00D53059" w:rsidRPr="00C903A8">
        <w:rPr>
          <w:rFonts w:ascii="Times New Roman" w:hAnsi="Times New Roman" w:cs="Times New Roman"/>
          <w:lang w:val="es-ES"/>
        </w:rPr>
        <w:t>’</w:t>
      </w:r>
      <w:r w:rsidRPr="00C903A8">
        <w:rPr>
          <w:rFonts w:ascii="Times New Roman" w:hAnsi="Times New Roman" w:cs="Times New Roman"/>
          <w:lang w:val="es-ES"/>
        </w:rPr>
        <w:t xml:space="preserve"> </w:t>
      </w:r>
      <w:r w:rsidR="00AB3FB7" w:rsidRPr="00C903A8">
        <w:rPr>
          <w:rFonts w:ascii="Times New Roman" w:hAnsi="Times New Roman" w:cs="Times New Roman"/>
          <w:lang w:val="es-ES"/>
        </w:rPr>
        <w:t xml:space="preserve">(Kruse </w:t>
      </w:r>
      <w:r w:rsidR="00AB3FB7" w:rsidRPr="00C903A8">
        <w:rPr>
          <w:rFonts w:ascii="Times New Roman" w:hAnsi="Times New Roman" w:cs="Times New Roman"/>
          <w:i/>
          <w:iCs/>
          <w:lang w:val="es-ES"/>
        </w:rPr>
        <w:t>et al</w:t>
      </w:r>
      <w:r w:rsidR="00AB3FB7" w:rsidRPr="00C903A8">
        <w:rPr>
          <w:rFonts w:ascii="Times New Roman" w:hAnsi="Times New Roman" w:cs="Times New Roman"/>
          <w:lang w:val="es-ES"/>
        </w:rPr>
        <w:t>., 2017; Schonlau y Zou, 2020)</w:t>
      </w:r>
      <w:r w:rsidRPr="00C903A8">
        <w:rPr>
          <w:rFonts w:ascii="Times New Roman" w:hAnsi="Times New Roman" w:cs="Times New Roman"/>
          <w:lang w:val="es-ES"/>
        </w:rPr>
        <w:t>.</w:t>
      </w:r>
    </w:p>
    <w:p w14:paraId="5BDEA989" w14:textId="77777777" w:rsidR="00041B5E" w:rsidRDefault="00041B5E" w:rsidP="00041B5E">
      <w:pPr>
        <w:jc w:val="both"/>
        <w:rPr>
          <w:rFonts w:ascii="Times New Roman" w:hAnsi="Times New Roman" w:cs="Times New Roman"/>
          <w:lang w:val="es-ES"/>
        </w:rPr>
      </w:pPr>
    </w:p>
    <w:p w14:paraId="7EB889B5" w14:textId="1F82114E" w:rsidR="005B0B19" w:rsidRPr="00C903A8" w:rsidRDefault="00040282" w:rsidP="00041B5E">
      <w:pPr>
        <w:jc w:val="both"/>
        <w:rPr>
          <w:rFonts w:ascii="Times New Roman" w:hAnsi="Times New Roman" w:cs="Times New Roman"/>
          <w:lang w:val="es-ES"/>
        </w:rPr>
      </w:pPr>
      <w:r w:rsidRPr="00C903A8">
        <w:rPr>
          <w:rFonts w:ascii="Times New Roman" w:hAnsi="Times New Roman" w:cs="Times New Roman"/>
          <w:lang w:val="es-ES"/>
        </w:rPr>
        <w:t xml:space="preserve">Un árbol de decisión se representa gráficamente mediante un conjunto de nodos, hojas y ramas. El nodo principal o raíz es la variable a partir de la cual se inicia el proceso de clasificación. Los nodos internos corresponden a cada una de las condiciones (variables) asociadas a un problema dado. </w:t>
      </w:r>
      <w:r w:rsidRPr="00C903A8">
        <w:rPr>
          <w:rFonts w:ascii="Times New Roman" w:hAnsi="Times New Roman" w:cs="Times New Roman"/>
          <w:lang w:val="es-ES"/>
        </w:rPr>
        <w:lastRenderedPageBreak/>
        <w:t xml:space="preserve">Mientras tanto, cada posible respuesta a las condiciones está representada por un nodo secundario. Las ramas que emergen de cada uno de estos nodos se etiquetan con los posibles valores del atributo. Los nodos finales corresponden a una decisión, que coincide con alguna clase (etiqueta) de la variable a clasificar o un pronóstico de un valor continuo </w:t>
      </w:r>
      <w:r w:rsidR="00AB3FB7" w:rsidRPr="00C903A8">
        <w:rPr>
          <w:rFonts w:ascii="Times New Roman" w:hAnsi="Times New Roman" w:cs="Times New Roman"/>
          <w:lang w:val="es-ES"/>
        </w:rPr>
        <w:t>(</w:t>
      </w:r>
      <w:proofErr w:type="spellStart"/>
      <w:r w:rsidR="00AB3FB7" w:rsidRPr="00C903A8">
        <w:rPr>
          <w:rFonts w:ascii="Times New Roman" w:hAnsi="Times New Roman" w:cs="Times New Roman"/>
          <w:lang w:val="es-ES"/>
        </w:rPr>
        <w:t>Dugalam</w:t>
      </w:r>
      <w:proofErr w:type="spellEnd"/>
      <w:r w:rsidR="00AB3FB7" w:rsidRPr="00C903A8">
        <w:rPr>
          <w:rFonts w:ascii="Times New Roman" w:hAnsi="Times New Roman" w:cs="Times New Roman"/>
          <w:lang w:val="es-ES"/>
        </w:rPr>
        <w:t xml:space="preserve"> y Prakash, 2024)</w:t>
      </w:r>
      <w:r w:rsidRPr="00C903A8">
        <w:rPr>
          <w:rFonts w:ascii="Times New Roman" w:hAnsi="Times New Roman" w:cs="Times New Roman"/>
          <w:lang w:val="es-ES"/>
        </w:rPr>
        <w:t xml:space="preserve">. </w:t>
      </w:r>
    </w:p>
    <w:p w14:paraId="7BA062DB" w14:textId="77777777" w:rsidR="00041B5E" w:rsidRDefault="00041B5E" w:rsidP="00041B5E">
      <w:pPr>
        <w:jc w:val="both"/>
        <w:rPr>
          <w:rFonts w:ascii="Times New Roman" w:hAnsi="Times New Roman" w:cs="Times New Roman"/>
          <w:lang w:val="es-ES"/>
        </w:rPr>
      </w:pPr>
    </w:p>
    <w:p w14:paraId="5B10ADE9" w14:textId="693A461B" w:rsidR="005B0B19" w:rsidRDefault="00040282" w:rsidP="00041B5E">
      <w:pPr>
        <w:jc w:val="both"/>
        <w:rPr>
          <w:rFonts w:ascii="Times New Roman" w:hAnsi="Times New Roman" w:cs="Times New Roman"/>
          <w:lang w:val="es-ES"/>
        </w:rPr>
      </w:pPr>
      <w:r w:rsidRPr="00C903A8">
        <w:rPr>
          <w:rFonts w:ascii="Times New Roman" w:hAnsi="Times New Roman" w:cs="Times New Roman"/>
          <w:lang w:val="es-ES"/>
        </w:rPr>
        <w:t>Es importante mencionar que los árboles de decisión a veces son susceptibles al sobreajuste, lo que significa que tienden a aprender muy bien de los datos de entrenamiento, pero su generalización puede no ser tan buena. Una forma de mejorar la generalización de los árboles de decisión es combinar varios árboles, conocidos como bosques aleatorios.</w:t>
      </w:r>
      <w:r w:rsidR="005B0B19" w:rsidRPr="00C903A8">
        <w:rPr>
          <w:rFonts w:ascii="Times New Roman" w:hAnsi="Times New Roman" w:cs="Times New Roman"/>
          <w:lang w:val="es-ES"/>
        </w:rPr>
        <w:t xml:space="preserve"> Estos</w:t>
      </w:r>
      <w:r w:rsidRPr="00C903A8">
        <w:rPr>
          <w:rFonts w:ascii="Times New Roman" w:hAnsi="Times New Roman" w:cs="Times New Roman"/>
          <w:lang w:val="es-ES"/>
        </w:rPr>
        <w:t xml:space="preserve"> bosques aleatorios se utilizan ampliamente en la actualidad. Su objetivo es construir (ensamblar) un conjunto de árboles de decisión que, al combinarse, utilizan diferentes porciones de datos. Ningún árbol utiliza todos los datos de entrenamiento; cada árbol se entrena con diferentes muestras para el mismo problema. Al combinar los resultados, los errores se compensan entre sí y se obtiene una predicción (clasificación</w:t>
      </w:r>
      <w:r w:rsidR="005B0B19" w:rsidRPr="00C903A8">
        <w:rPr>
          <w:rFonts w:ascii="Times New Roman" w:hAnsi="Times New Roman" w:cs="Times New Roman"/>
          <w:lang w:val="es-ES"/>
        </w:rPr>
        <w:t xml:space="preserve"> o pronóstico</w:t>
      </w:r>
      <w:r w:rsidRPr="00C903A8">
        <w:rPr>
          <w:rFonts w:ascii="Times New Roman" w:hAnsi="Times New Roman" w:cs="Times New Roman"/>
          <w:lang w:val="es-ES"/>
        </w:rPr>
        <w:t xml:space="preserve">) que se generaliza mejor al problema. </w:t>
      </w:r>
    </w:p>
    <w:p w14:paraId="5D27C016" w14:textId="77777777" w:rsidR="00041B5E" w:rsidRDefault="00041B5E" w:rsidP="00041B5E">
      <w:pPr>
        <w:jc w:val="both"/>
        <w:rPr>
          <w:rFonts w:ascii="Times New Roman" w:hAnsi="Times New Roman" w:cs="Times New Roman"/>
          <w:lang w:val="es-ES"/>
        </w:rPr>
      </w:pPr>
    </w:p>
    <w:p w14:paraId="35E59CA5" w14:textId="52FD5EB9" w:rsidR="00957292" w:rsidRDefault="00040282" w:rsidP="00041B5E">
      <w:pPr>
        <w:jc w:val="both"/>
        <w:rPr>
          <w:rFonts w:ascii="Times New Roman" w:hAnsi="Times New Roman" w:cs="Times New Roman"/>
          <w:lang w:val="es-ES"/>
        </w:rPr>
      </w:pPr>
      <w:r w:rsidRPr="00C903A8">
        <w:rPr>
          <w:rFonts w:ascii="Times New Roman" w:hAnsi="Times New Roman" w:cs="Times New Roman"/>
          <w:lang w:val="es-ES"/>
        </w:rPr>
        <w:t xml:space="preserve">La Figura 1 muestra un diagrama general del funcionamiento de los bosques aleatorios, que consta de cuatro pasos </w:t>
      </w:r>
      <w:r w:rsidR="00AB3FB7" w:rsidRPr="00C903A8">
        <w:rPr>
          <w:rFonts w:ascii="Times New Roman" w:hAnsi="Times New Roman" w:cs="Times New Roman"/>
          <w:lang w:val="es-ES"/>
        </w:rPr>
        <w:t xml:space="preserve">(Sarica et al., 2017; </w:t>
      </w:r>
      <w:proofErr w:type="spellStart"/>
      <w:r w:rsidR="00AB3FB7" w:rsidRPr="00C903A8">
        <w:rPr>
          <w:rFonts w:ascii="Times New Roman" w:hAnsi="Times New Roman" w:cs="Times New Roman"/>
          <w:lang w:val="es-ES"/>
        </w:rPr>
        <w:t>Dugalam</w:t>
      </w:r>
      <w:proofErr w:type="spellEnd"/>
      <w:r w:rsidR="00AB3FB7" w:rsidRPr="00C903A8">
        <w:rPr>
          <w:rFonts w:ascii="Times New Roman" w:hAnsi="Times New Roman" w:cs="Times New Roman"/>
          <w:lang w:val="es-ES"/>
        </w:rPr>
        <w:t xml:space="preserve"> y Prakash, 2024)</w:t>
      </w:r>
      <w:r w:rsidRPr="00C903A8">
        <w:rPr>
          <w:rFonts w:ascii="Times New Roman" w:hAnsi="Times New Roman" w:cs="Times New Roman"/>
          <w:lang w:val="es-ES"/>
        </w:rPr>
        <w:t xml:space="preserve">: i) se seleccionan muestras aleatorias del conjunto de datos; </w:t>
      </w:r>
      <w:proofErr w:type="spellStart"/>
      <w:r w:rsidRPr="00C903A8">
        <w:rPr>
          <w:rFonts w:ascii="Times New Roman" w:hAnsi="Times New Roman" w:cs="Times New Roman"/>
          <w:lang w:val="es-ES"/>
        </w:rPr>
        <w:t>ii</w:t>
      </w:r>
      <w:proofErr w:type="spellEnd"/>
      <w:r w:rsidRPr="00C903A8">
        <w:rPr>
          <w:rFonts w:ascii="Times New Roman" w:hAnsi="Times New Roman" w:cs="Times New Roman"/>
          <w:lang w:val="es-ES"/>
        </w:rPr>
        <w:t xml:space="preserve">) se construye un árbol de decisión para cada muestra y se obtiene un resultado; </w:t>
      </w:r>
      <w:proofErr w:type="spellStart"/>
      <w:r w:rsidRPr="00C903A8">
        <w:rPr>
          <w:rFonts w:ascii="Times New Roman" w:hAnsi="Times New Roman" w:cs="Times New Roman"/>
          <w:lang w:val="es-ES"/>
        </w:rPr>
        <w:t>iii</w:t>
      </w:r>
      <w:proofErr w:type="spellEnd"/>
      <w:r w:rsidRPr="00C903A8">
        <w:rPr>
          <w:rFonts w:ascii="Times New Roman" w:hAnsi="Times New Roman" w:cs="Times New Roman"/>
          <w:lang w:val="es-ES"/>
        </w:rPr>
        <w:t xml:space="preserve">) se realiza una votación (clasificación) o un promedio (pronóstico) en función de los resultados; </w:t>
      </w:r>
      <w:proofErr w:type="spellStart"/>
      <w:r w:rsidRPr="00C903A8">
        <w:rPr>
          <w:rFonts w:ascii="Times New Roman" w:hAnsi="Times New Roman" w:cs="Times New Roman"/>
          <w:lang w:val="es-ES"/>
        </w:rPr>
        <w:t>iv</w:t>
      </w:r>
      <w:proofErr w:type="spellEnd"/>
      <w:r w:rsidRPr="00C903A8">
        <w:rPr>
          <w:rFonts w:ascii="Times New Roman" w:hAnsi="Times New Roman" w:cs="Times New Roman"/>
          <w:lang w:val="es-ES"/>
        </w:rPr>
        <w:t>) se selecciona el resultado con más votos (clasificación) o el promedio final (regresión).</w:t>
      </w:r>
    </w:p>
    <w:p w14:paraId="03EE5EA2" w14:textId="77777777" w:rsidR="00041B5E" w:rsidRDefault="00041B5E" w:rsidP="00041B5E">
      <w:pPr>
        <w:jc w:val="both"/>
        <w:rPr>
          <w:rFonts w:ascii="Times New Roman" w:hAnsi="Times New Roman" w:cs="Times New Roman"/>
          <w:lang w:val="es-ES"/>
        </w:rPr>
      </w:pPr>
    </w:p>
    <w:p w14:paraId="2AB02B7B" w14:textId="790612BC" w:rsidR="00041B5E" w:rsidRPr="00041B5E" w:rsidRDefault="00041B5E" w:rsidP="00041B5E">
      <w:pPr>
        <w:jc w:val="center"/>
        <w:rPr>
          <w:rFonts w:ascii="Times New Roman" w:hAnsi="Times New Roman" w:cs="Times New Roman"/>
          <w:lang w:val="es-ES"/>
        </w:rPr>
      </w:pPr>
      <w:r w:rsidRPr="00041B5E">
        <w:rPr>
          <w:rFonts w:ascii="Times New Roman" w:hAnsi="Times New Roman" w:cs="Times New Roman"/>
          <w:b/>
          <w:bCs/>
          <w:lang w:val="es-ES"/>
        </w:rPr>
        <w:t>Figura 1.</w:t>
      </w:r>
      <w:r w:rsidRPr="00041B5E">
        <w:rPr>
          <w:rFonts w:ascii="Times New Roman" w:hAnsi="Times New Roman" w:cs="Times New Roman"/>
          <w:lang w:val="es-ES"/>
        </w:rPr>
        <w:t xml:space="preserve"> Diagrama general de un bosque aleatorio.</w:t>
      </w:r>
    </w:p>
    <w:p w14:paraId="3E4E0A41" w14:textId="77777777" w:rsidR="00041B5E" w:rsidRDefault="00041B5E" w:rsidP="00041B5E">
      <w:pPr>
        <w:jc w:val="both"/>
        <w:rPr>
          <w:rFonts w:ascii="Times New Roman" w:hAnsi="Times New Roman" w:cs="Times New Roman"/>
          <w:lang w:val="es-ES"/>
        </w:rPr>
      </w:pPr>
    </w:p>
    <w:p w14:paraId="4CDA9800" w14:textId="77777777" w:rsidR="00041B5E" w:rsidRPr="00C903A8" w:rsidRDefault="00041B5E" w:rsidP="00041B5E">
      <w:pPr>
        <w:jc w:val="both"/>
        <w:rPr>
          <w:rFonts w:ascii="Times New Roman" w:hAnsi="Times New Roman" w:cs="Times New Roman"/>
          <w:lang w:val="es-ES"/>
        </w:rPr>
      </w:pPr>
    </w:p>
    <w:p w14:paraId="45F1213F" w14:textId="4E9557E9" w:rsidR="00BB5027" w:rsidRPr="00C903A8" w:rsidRDefault="00BB5027" w:rsidP="00C903A8">
      <w:pPr>
        <w:tabs>
          <w:tab w:val="left" w:pos="558"/>
        </w:tabs>
        <w:ind w:left="566"/>
        <w:jc w:val="center"/>
        <w:rPr>
          <w:rFonts w:ascii="Times New Roman" w:hAnsi="Times New Roman"/>
          <w:lang w:val="es-MX"/>
        </w:rPr>
      </w:pPr>
    </w:p>
    <w:p w14:paraId="525A604F" w14:textId="2A4ECB39" w:rsidR="00BB5027" w:rsidRPr="00C903A8" w:rsidRDefault="00BB5027" w:rsidP="00C903A8">
      <w:pPr>
        <w:tabs>
          <w:tab w:val="left" w:pos="558"/>
        </w:tabs>
        <w:ind w:left="566"/>
        <w:jc w:val="center"/>
        <w:rPr>
          <w:rFonts w:ascii="Times New Roman" w:hAnsi="Times New Roman"/>
        </w:rPr>
      </w:pPr>
      <w:r w:rsidRPr="00C903A8">
        <w:fldChar w:fldCharType="begin"/>
      </w:r>
      <w:r w:rsidRPr="00C903A8">
        <w:instrText xml:space="preserve"> INCLUDEPICTURE "https://www.iayprogramacion.com/wp-content/uploads/2023/02/foto1-1200x918.jpg" \* MERGEFORMATINET </w:instrText>
      </w:r>
      <w:r w:rsidRPr="00C903A8">
        <w:fldChar w:fldCharType="separate"/>
      </w:r>
      <w:r w:rsidRPr="00C903A8">
        <w:rPr>
          <w:noProof/>
        </w:rPr>
        <w:drawing>
          <wp:inline distT="0" distB="0" distL="0" distR="0" wp14:anchorId="527DB4BB" wp14:editId="3FD9F3C6">
            <wp:extent cx="4619646" cy="2238375"/>
            <wp:effectExtent l="0" t="0" r="0" b="0"/>
            <wp:docPr id="1347736559" name="Imagen 1" descr="Random forest ¿Cómo evitan el sobreaj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om forest ¿Cómo evitan el sobreajus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071" b="5119"/>
                    <a:stretch/>
                  </pic:blipFill>
                  <pic:spPr bwMode="auto">
                    <a:xfrm>
                      <a:off x="0" y="0"/>
                      <a:ext cx="4731592" cy="2292616"/>
                    </a:xfrm>
                    <a:prstGeom prst="rect">
                      <a:avLst/>
                    </a:prstGeom>
                    <a:noFill/>
                    <a:ln>
                      <a:noFill/>
                    </a:ln>
                    <a:extLst>
                      <a:ext uri="{53640926-AAD7-44D8-BBD7-CCE9431645EC}">
                        <a14:shadowObscured xmlns:a14="http://schemas.microsoft.com/office/drawing/2010/main"/>
                      </a:ext>
                    </a:extLst>
                  </pic:spPr>
                </pic:pic>
              </a:graphicData>
            </a:graphic>
          </wp:inline>
        </w:drawing>
      </w:r>
      <w:r w:rsidRPr="00C903A8">
        <w:fldChar w:fldCharType="end"/>
      </w:r>
    </w:p>
    <w:p w14:paraId="17719505" w14:textId="56C76358" w:rsidR="00041B5E" w:rsidRDefault="00041B5E" w:rsidP="00C903A8">
      <w:pPr>
        <w:pStyle w:val="figurecaption"/>
        <w:numPr>
          <w:ilvl w:val="0"/>
          <w:numId w:val="0"/>
        </w:numPr>
        <w:spacing w:before="0" w:after="0"/>
        <w:ind w:left="357"/>
        <w:rPr>
          <w:sz w:val="24"/>
          <w:szCs w:val="24"/>
          <w:lang w:val="es-ES"/>
        </w:rPr>
      </w:pPr>
    </w:p>
    <w:p w14:paraId="44B73930" w14:textId="553BF022" w:rsidR="00957292" w:rsidRPr="00C903A8" w:rsidRDefault="00041B5E" w:rsidP="00C903A8">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005B0B19" w:rsidRPr="00C903A8">
        <w:rPr>
          <w:sz w:val="24"/>
          <w:szCs w:val="24"/>
          <w:lang w:val="es-ES"/>
        </w:rPr>
        <w:t xml:space="preserve"> Elaboración propia.</w:t>
      </w:r>
    </w:p>
    <w:p w14:paraId="0A72501C" w14:textId="77777777" w:rsidR="00041B5E" w:rsidRDefault="00041B5E" w:rsidP="00041B5E">
      <w:pPr>
        <w:jc w:val="both"/>
        <w:rPr>
          <w:rFonts w:ascii="Times New Roman" w:hAnsi="Times New Roman" w:cs="Times New Roman"/>
          <w:lang w:val="es-ES"/>
        </w:rPr>
      </w:pPr>
    </w:p>
    <w:p w14:paraId="553BC87F" w14:textId="081AE28F" w:rsidR="00FB5C91" w:rsidRPr="00C903A8" w:rsidRDefault="00957292" w:rsidP="00041B5E">
      <w:pPr>
        <w:jc w:val="both"/>
        <w:rPr>
          <w:rFonts w:ascii="Times New Roman" w:hAnsi="Times New Roman" w:cs="Times New Roman"/>
          <w:lang w:val="es-ES"/>
        </w:rPr>
      </w:pPr>
      <w:r w:rsidRPr="00C903A8">
        <w:rPr>
          <w:rFonts w:ascii="Times New Roman" w:hAnsi="Times New Roman" w:cs="Times New Roman"/>
          <w:lang w:val="es-ES"/>
        </w:rPr>
        <w:t>Para problemas de clasificación, los resultados de los árboles de decisión se combinan mediante diferentes estrategias. Una de las más comunes es la votación suave, en la que se otorga mayor peso a los resultados con mayor coincidencia. Por otro lado, para problemas de pronóstico, la forma habitual de combinar los resultados de los árboles de decisión es mediante el promedio (media aritmética).</w:t>
      </w:r>
    </w:p>
    <w:p w14:paraId="2000874F" w14:textId="77777777" w:rsidR="00196F80" w:rsidRPr="00C903A8" w:rsidRDefault="00196F80" w:rsidP="00C903A8">
      <w:pPr>
        <w:ind w:firstLine="720"/>
        <w:jc w:val="both"/>
        <w:rPr>
          <w:rFonts w:ascii="Times New Roman" w:hAnsi="Times New Roman" w:cs="Times New Roman"/>
          <w:lang w:val="es-ES"/>
        </w:rPr>
      </w:pPr>
    </w:p>
    <w:p w14:paraId="2895CEF2" w14:textId="404E8227" w:rsidR="00FB5C91" w:rsidRPr="00041B5E" w:rsidRDefault="00FB5C91" w:rsidP="00C903A8">
      <w:pPr>
        <w:jc w:val="center"/>
        <w:rPr>
          <w:rFonts w:ascii="Times New Roman" w:hAnsi="Times New Roman" w:cs="Times New Roman"/>
          <w:b/>
          <w:bCs/>
          <w:lang w:val="es-ES"/>
        </w:rPr>
      </w:pPr>
      <w:r w:rsidRPr="00041B5E">
        <w:rPr>
          <w:rFonts w:ascii="Times New Roman" w:hAnsi="Times New Roman" w:cs="Times New Roman"/>
          <w:b/>
          <w:bCs/>
          <w:lang w:val="es-ES"/>
        </w:rPr>
        <w:t>Método</w:t>
      </w:r>
    </w:p>
    <w:p w14:paraId="3AA1D848" w14:textId="77777777" w:rsidR="00041B5E" w:rsidRPr="00C903A8" w:rsidRDefault="00041B5E" w:rsidP="00C903A8">
      <w:pPr>
        <w:jc w:val="center"/>
        <w:rPr>
          <w:rFonts w:ascii="Times New Roman" w:hAnsi="Times New Roman" w:cs="Times New Roman"/>
          <w:b/>
          <w:bCs/>
          <w:sz w:val="32"/>
          <w:szCs w:val="32"/>
          <w:lang w:val="es-ES"/>
        </w:rPr>
      </w:pPr>
    </w:p>
    <w:p w14:paraId="644EDDC1" w14:textId="47FCF4F8" w:rsidR="00196F80" w:rsidRPr="00C903A8" w:rsidRDefault="00010BF5" w:rsidP="00041B5E">
      <w:pPr>
        <w:jc w:val="both"/>
        <w:rPr>
          <w:rFonts w:ascii="Times New Roman" w:hAnsi="Times New Roman" w:cs="Times New Roman"/>
          <w:lang w:val="es-ES"/>
        </w:rPr>
      </w:pPr>
      <w:r w:rsidRPr="00C903A8">
        <w:rPr>
          <w:rFonts w:ascii="Times New Roman" w:hAnsi="Times New Roman" w:cs="Times New Roman"/>
          <w:lang w:val="es-ES"/>
        </w:rPr>
        <w:t>Como</w:t>
      </w:r>
      <w:r w:rsidR="00196F80" w:rsidRPr="00C903A8">
        <w:rPr>
          <w:rFonts w:ascii="Times New Roman" w:hAnsi="Times New Roman" w:cs="Times New Roman"/>
          <w:lang w:val="es-ES"/>
        </w:rPr>
        <w:t xml:space="preserve"> solución para clasificar los factores que inciden en </w:t>
      </w:r>
      <w:r w:rsidR="003B62C8" w:rsidRPr="00C903A8">
        <w:rPr>
          <w:rFonts w:ascii="Times New Roman" w:hAnsi="Times New Roman" w:cs="Times New Roman"/>
          <w:lang w:val="es-ES"/>
        </w:rPr>
        <w:t>el abandono</w:t>
      </w:r>
      <w:r w:rsidR="00196F80" w:rsidRPr="00C903A8">
        <w:rPr>
          <w:rFonts w:ascii="Times New Roman" w:hAnsi="Times New Roman" w:cs="Times New Roman"/>
          <w:lang w:val="es-ES"/>
        </w:rPr>
        <w:t xml:space="preserve"> universitari</w:t>
      </w:r>
      <w:r w:rsidR="003B62C8" w:rsidRPr="00C903A8">
        <w:rPr>
          <w:rFonts w:ascii="Times New Roman" w:hAnsi="Times New Roman" w:cs="Times New Roman"/>
          <w:lang w:val="es-ES"/>
        </w:rPr>
        <w:t>o</w:t>
      </w:r>
      <w:r w:rsidR="00196F80" w:rsidRPr="00C903A8">
        <w:rPr>
          <w:rFonts w:ascii="Times New Roman" w:hAnsi="Times New Roman" w:cs="Times New Roman"/>
          <w:lang w:val="es-ES"/>
        </w:rPr>
        <w:t xml:space="preserve"> en la Facultad de Contaduría y Administración de la Universidad Veracruzana </w:t>
      </w:r>
      <w:r w:rsidRPr="00C903A8">
        <w:rPr>
          <w:rFonts w:ascii="Times New Roman" w:hAnsi="Times New Roman" w:cs="Times New Roman"/>
          <w:lang w:val="es-ES"/>
        </w:rPr>
        <w:t xml:space="preserve">se </w:t>
      </w:r>
      <w:r w:rsidR="00196F80" w:rsidRPr="00C903A8">
        <w:rPr>
          <w:rFonts w:ascii="Times New Roman" w:hAnsi="Times New Roman" w:cs="Times New Roman"/>
          <w:lang w:val="es-ES"/>
        </w:rPr>
        <w:t>empleó</w:t>
      </w:r>
      <w:r w:rsidR="000C4FA3" w:rsidRPr="00C903A8">
        <w:rPr>
          <w:rFonts w:ascii="Times New Roman" w:hAnsi="Times New Roman" w:cs="Times New Roman"/>
          <w:lang w:val="es-ES"/>
        </w:rPr>
        <w:t xml:space="preserve"> un método descriptivo, apoyado de conocimientos específicos sobre </w:t>
      </w:r>
      <w:r w:rsidR="00196F80" w:rsidRPr="00C903A8">
        <w:rPr>
          <w:rFonts w:ascii="Times New Roman" w:hAnsi="Times New Roman" w:cs="Times New Roman"/>
          <w:lang w:val="es-ES"/>
        </w:rPr>
        <w:t xml:space="preserve">inteligencia computacional; es decir, se </w:t>
      </w:r>
      <w:r w:rsidRPr="00C903A8">
        <w:rPr>
          <w:rFonts w:ascii="Times New Roman" w:hAnsi="Times New Roman" w:cs="Times New Roman"/>
          <w:lang w:val="es-ES"/>
        </w:rPr>
        <w:t>utilizaron</w:t>
      </w:r>
      <w:r w:rsidR="00196F80" w:rsidRPr="00C903A8">
        <w:rPr>
          <w:rFonts w:ascii="Times New Roman" w:hAnsi="Times New Roman" w:cs="Times New Roman"/>
          <w:lang w:val="es-ES"/>
        </w:rPr>
        <w:t xml:space="preserve"> </w:t>
      </w:r>
      <w:r w:rsidRPr="00C903A8">
        <w:rPr>
          <w:rFonts w:ascii="Times New Roman" w:hAnsi="Times New Roman" w:cs="Times New Roman"/>
          <w:lang w:val="es-ES"/>
        </w:rPr>
        <w:t xml:space="preserve">dos </w:t>
      </w:r>
      <w:r w:rsidR="00196F80" w:rsidRPr="00C903A8">
        <w:rPr>
          <w:rFonts w:ascii="Times New Roman" w:hAnsi="Times New Roman" w:cs="Times New Roman"/>
          <w:lang w:val="es-ES"/>
        </w:rPr>
        <w:t xml:space="preserve">algoritmos de aprendizaje automático para clasificar los datos </w:t>
      </w:r>
      <w:r w:rsidRPr="00C903A8">
        <w:rPr>
          <w:rFonts w:ascii="Times New Roman" w:hAnsi="Times New Roman" w:cs="Times New Roman"/>
          <w:lang w:val="es-ES"/>
        </w:rPr>
        <w:t>(árbol de decisión y bosque aleatorio)</w:t>
      </w:r>
      <w:r w:rsidR="00196F80" w:rsidRPr="00C903A8">
        <w:rPr>
          <w:rFonts w:ascii="Times New Roman" w:hAnsi="Times New Roman" w:cs="Times New Roman"/>
          <w:lang w:val="es-ES"/>
        </w:rPr>
        <w:t xml:space="preserve">. Por lo </w:t>
      </w:r>
      <w:r w:rsidR="000C4FA3" w:rsidRPr="00C903A8">
        <w:rPr>
          <w:rFonts w:ascii="Times New Roman" w:hAnsi="Times New Roman" w:cs="Times New Roman"/>
          <w:lang w:val="es-ES"/>
        </w:rPr>
        <w:t>que</w:t>
      </w:r>
      <w:r w:rsidR="00196F80" w:rsidRPr="00C903A8">
        <w:rPr>
          <w:rFonts w:ascii="Times New Roman" w:hAnsi="Times New Roman" w:cs="Times New Roman"/>
          <w:lang w:val="es-ES"/>
        </w:rPr>
        <w:t xml:space="preserve">, el método se dividió en </w:t>
      </w:r>
      <w:r w:rsidRPr="00C903A8">
        <w:rPr>
          <w:rFonts w:ascii="Times New Roman" w:hAnsi="Times New Roman" w:cs="Times New Roman"/>
          <w:lang w:val="es-ES"/>
        </w:rPr>
        <w:t>tres</w:t>
      </w:r>
      <w:r w:rsidR="00196F80" w:rsidRPr="00C903A8">
        <w:rPr>
          <w:rFonts w:ascii="Times New Roman" w:hAnsi="Times New Roman" w:cs="Times New Roman"/>
          <w:lang w:val="es-ES"/>
        </w:rPr>
        <w:t xml:space="preserve"> etapas: i) fuente de datos, </w:t>
      </w:r>
      <w:proofErr w:type="spellStart"/>
      <w:r w:rsidR="00196F80" w:rsidRPr="00C903A8">
        <w:rPr>
          <w:rFonts w:ascii="Times New Roman" w:hAnsi="Times New Roman" w:cs="Times New Roman"/>
          <w:lang w:val="es-ES"/>
        </w:rPr>
        <w:t>ii</w:t>
      </w:r>
      <w:proofErr w:type="spellEnd"/>
      <w:r w:rsidR="00196F80" w:rsidRPr="00C903A8">
        <w:rPr>
          <w:rFonts w:ascii="Times New Roman" w:hAnsi="Times New Roman" w:cs="Times New Roman"/>
          <w:lang w:val="es-ES"/>
        </w:rPr>
        <w:t xml:space="preserve">) selección de variables, </w:t>
      </w:r>
      <w:r w:rsidR="005029A4" w:rsidRPr="00C903A8">
        <w:rPr>
          <w:rFonts w:ascii="Times New Roman" w:hAnsi="Times New Roman" w:cs="Times New Roman"/>
          <w:lang w:val="es-ES"/>
        </w:rPr>
        <w:t xml:space="preserve">y </w:t>
      </w:r>
      <w:proofErr w:type="spellStart"/>
      <w:r w:rsidR="00196F80" w:rsidRPr="00C903A8">
        <w:rPr>
          <w:rFonts w:ascii="Times New Roman" w:hAnsi="Times New Roman" w:cs="Times New Roman"/>
          <w:lang w:val="es-ES"/>
        </w:rPr>
        <w:t>iii</w:t>
      </w:r>
      <w:proofErr w:type="spellEnd"/>
      <w:r w:rsidR="00196F80" w:rsidRPr="00C903A8">
        <w:rPr>
          <w:rFonts w:ascii="Times New Roman" w:hAnsi="Times New Roman" w:cs="Times New Roman"/>
          <w:lang w:val="es-ES"/>
        </w:rPr>
        <w:t>) clasificación y validación.</w:t>
      </w:r>
    </w:p>
    <w:p w14:paraId="3745A5FD" w14:textId="77777777" w:rsidR="00196F80" w:rsidRPr="00C903A8" w:rsidRDefault="00196F80" w:rsidP="00C903A8">
      <w:pPr>
        <w:ind w:firstLine="720"/>
        <w:jc w:val="both"/>
        <w:rPr>
          <w:rFonts w:ascii="Times New Roman" w:hAnsi="Times New Roman" w:cs="Times New Roman"/>
          <w:lang w:val="es-ES"/>
        </w:rPr>
      </w:pPr>
    </w:p>
    <w:p w14:paraId="7471DE4D" w14:textId="77777777" w:rsidR="00196F80" w:rsidRPr="00041B5E" w:rsidRDefault="00196F80" w:rsidP="00C903A8">
      <w:pPr>
        <w:jc w:val="center"/>
        <w:rPr>
          <w:rFonts w:ascii="Times New Roman" w:hAnsi="Times New Roman" w:cs="Times New Roman"/>
          <w:b/>
          <w:bCs/>
          <w:lang w:val="es-ES"/>
        </w:rPr>
      </w:pPr>
      <w:r w:rsidRPr="00041B5E">
        <w:rPr>
          <w:rFonts w:ascii="Times New Roman" w:hAnsi="Times New Roman" w:cs="Times New Roman"/>
          <w:b/>
          <w:bCs/>
          <w:lang w:val="es-ES"/>
        </w:rPr>
        <w:t>Fuente de datos</w:t>
      </w:r>
    </w:p>
    <w:p w14:paraId="59931D0E" w14:textId="77777777" w:rsidR="00041B5E" w:rsidRDefault="00041B5E" w:rsidP="00041B5E">
      <w:pPr>
        <w:jc w:val="both"/>
        <w:rPr>
          <w:rFonts w:ascii="Times New Roman" w:hAnsi="Times New Roman" w:cs="Times New Roman"/>
          <w:lang w:val="es-ES"/>
        </w:rPr>
      </w:pPr>
    </w:p>
    <w:p w14:paraId="0B816101" w14:textId="102AEB57" w:rsidR="00DC664E" w:rsidRPr="00C903A8" w:rsidRDefault="00E95C8B" w:rsidP="00041B5E">
      <w:pPr>
        <w:jc w:val="both"/>
        <w:rPr>
          <w:rFonts w:ascii="Times New Roman" w:hAnsi="Times New Roman" w:cs="Times New Roman"/>
          <w:lang w:val="es-ES"/>
        </w:rPr>
      </w:pPr>
      <w:r w:rsidRPr="00C903A8">
        <w:rPr>
          <w:rFonts w:ascii="Times New Roman" w:hAnsi="Times New Roman" w:cs="Times New Roman"/>
          <w:lang w:val="es-ES"/>
        </w:rPr>
        <w:t>El abandono</w:t>
      </w:r>
      <w:r w:rsidR="00F918E4" w:rsidRPr="00C903A8">
        <w:rPr>
          <w:rFonts w:ascii="Times New Roman" w:hAnsi="Times New Roman" w:cs="Times New Roman"/>
          <w:lang w:val="es-ES"/>
        </w:rPr>
        <w:t xml:space="preserve"> escolar es uno de los principales problemas que enfrentan las instituciones de educación superior en México</w:t>
      </w:r>
      <w:r w:rsidR="00FE22D6" w:rsidRPr="00C903A8">
        <w:rPr>
          <w:rFonts w:ascii="Times New Roman" w:hAnsi="Times New Roman" w:cs="Times New Roman"/>
          <w:lang w:val="es-ES"/>
        </w:rPr>
        <w:t xml:space="preserve"> (Otero, 2021)</w:t>
      </w:r>
      <w:r w:rsidR="00F918E4" w:rsidRPr="00C903A8">
        <w:rPr>
          <w:rFonts w:ascii="Times New Roman" w:hAnsi="Times New Roman" w:cs="Times New Roman"/>
          <w:lang w:val="es-ES"/>
        </w:rPr>
        <w:t>, como la Universidad Veracruzana. Esta investigación utilizó como fuente de datos información obtenida de encuestas</w:t>
      </w:r>
      <w:r w:rsidR="00D746DC" w:rsidRPr="00C903A8">
        <w:rPr>
          <w:rFonts w:ascii="Times New Roman" w:hAnsi="Times New Roman" w:cs="Times New Roman"/>
          <w:lang w:val="es-ES"/>
        </w:rPr>
        <w:t xml:space="preserve"> confidenciales</w:t>
      </w:r>
      <w:r w:rsidR="00F918E4" w:rsidRPr="00C903A8">
        <w:rPr>
          <w:rFonts w:ascii="Times New Roman" w:hAnsi="Times New Roman" w:cs="Times New Roman"/>
          <w:lang w:val="es-ES"/>
        </w:rPr>
        <w:t xml:space="preserve"> realizadas a 1018 estudiantes universitarios de cuatro programas educativos de la Facultad de Contaduría y Administración de la Universidad Veracruzana (Tabla 1). De estos, la mayor población encuestada fue Administración, con 352 estudiantes (34.58%), seguida de Contabilidad, con 281 (27.6%), luego Sistemas Computacionales Administrativos, con 226 (22.2%), y finalmente </w:t>
      </w:r>
      <w:r w:rsidR="00010BF5" w:rsidRPr="00C903A8">
        <w:rPr>
          <w:rFonts w:ascii="Times New Roman" w:hAnsi="Times New Roman" w:cs="Times New Roman"/>
          <w:lang w:val="es-ES"/>
        </w:rPr>
        <w:t>Gestión y Dirección de Negocios</w:t>
      </w:r>
      <w:r w:rsidR="00F918E4" w:rsidRPr="00C903A8">
        <w:rPr>
          <w:rFonts w:ascii="Times New Roman" w:hAnsi="Times New Roman" w:cs="Times New Roman"/>
          <w:lang w:val="es-ES"/>
        </w:rPr>
        <w:t>, con 159 (15.62%).</w:t>
      </w:r>
    </w:p>
    <w:p w14:paraId="1EA166A1" w14:textId="77777777" w:rsidR="00D912CC" w:rsidRPr="00C903A8" w:rsidRDefault="00D912CC" w:rsidP="00C903A8">
      <w:pPr>
        <w:ind w:firstLine="720"/>
        <w:jc w:val="both"/>
        <w:rPr>
          <w:rFonts w:ascii="Times New Roman" w:hAnsi="Times New Roman" w:cs="Times New Roman"/>
          <w:lang w:val="es-ES"/>
        </w:rPr>
      </w:pPr>
    </w:p>
    <w:p w14:paraId="6ED69148" w14:textId="1A626495" w:rsidR="00771D53" w:rsidRPr="00C903A8" w:rsidRDefault="00771D53" w:rsidP="00C903A8">
      <w:pPr>
        <w:jc w:val="center"/>
        <w:rPr>
          <w:rFonts w:ascii="Times New Roman" w:hAnsi="Times New Roman" w:cs="Times New Roman"/>
          <w:lang w:val="es-ES"/>
        </w:rPr>
      </w:pPr>
      <w:r w:rsidRPr="00C903A8">
        <w:rPr>
          <w:rFonts w:ascii="Times New Roman" w:hAnsi="Times New Roman" w:cs="Times New Roman"/>
          <w:b/>
          <w:bCs/>
          <w:lang w:val="es-ES"/>
        </w:rPr>
        <w:t>Tabla 1</w:t>
      </w:r>
      <w:r w:rsidRPr="00C903A8">
        <w:rPr>
          <w:rFonts w:ascii="Times New Roman" w:hAnsi="Times New Roman" w:cs="Times New Roman"/>
          <w:lang w:val="es-ES"/>
        </w:rPr>
        <w:t xml:space="preserve">. </w:t>
      </w:r>
      <w:r w:rsidR="004811A0" w:rsidRPr="00C903A8">
        <w:rPr>
          <w:rFonts w:ascii="Times New Roman" w:hAnsi="Times New Roman" w:cs="Times New Roman"/>
          <w:lang w:val="es-ES"/>
        </w:rPr>
        <w:t>Población encuestada sobre el abandono escolar</w:t>
      </w:r>
      <w:r w:rsidRPr="00C903A8">
        <w:rPr>
          <w:rFonts w:ascii="Times New Roman" w:hAnsi="Times New Roman" w:cs="Times New Roman"/>
          <w:lang w:val="es-ES"/>
        </w:rPr>
        <w:t>.</w:t>
      </w:r>
    </w:p>
    <w:tbl>
      <w:tblPr>
        <w:tblStyle w:val="Tablaconcuadrcula"/>
        <w:tblW w:w="9107" w:type="dxa"/>
        <w:jc w:val="center"/>
        <w:tblLook w:val="04A0" w:firstRow="1" w:lastRow="0" w:firstColumn="1" w:lastColumn="0" w:noHBand="0" w:noVBand="1"/>
      </w:tblPr>
      <w:tblGrid>
        <w:gridCol w:w="704"/>
        <w:gridCol w:w="4611"/>
        <w:gridCol w:w="1537"/>
        <w:gridCol w:w="2255"/>
      </w:tblGrid>
      <w:tr w:rsidR="004811A0" w:rsidRPr="00C903A8" w14:paraId="32D5D587" w14:textId="10CF27AC" w:rsidTr="00041B5E">
        <w:trPr>
          <w:jc w:val="center"/>
        </w:trPr>
        <w:tc>
          <w:tcPr>
            <w:tcW w:w="704" w:type="dxa"/>
          </w:tcPr>
          <w:p w14:paraId="0DE072A6" w14:textId="485A4FB3" w:rsidR="004811A0" w:rsidRPr="00C903A8" w:rsidRDefault="00010BF5" w:rsidP="00C903A8">
            <w:pPr>
              <w:jc w:val="both"/>
              <w:rPr>
                <w:rFonts w:ascii="Times New Roman" w:hAnsi="Times New Roman" w:cs="Times New Roman"/>
                <w:lang w:val="es-ES"/>
              </w:rPr>
            </w:pPr>
            <w:r w:rsidRPr="00C903A8">
              <w:rPr>
                <w:rFonts w:ascii="Times New Roman" w:hAnsi="Times New Roman" w:cs="Times New Roman"/>
                <w:lang w:val="es-ES"/>
              </w:rPr>
              <w:t>No.</w:t>
            </w:r>
          </w:p>
        </w:tc>
        <w:tc>
          <w:tcPr>
            <w:tcW w:w="4611" w:type="dxa"/>
          </w:tcPr>
          <w:p w14:paraId="769AFC81" w14:textId="621B1F07" w:rsidR="004811A0" w:rsidRPr="00C903A8" w:rsidRDefault="004811A0" w:rsidP="00C903A8">
            <w:pPr>
              <w:jc w:val="both"/>
              <w:rPr>
                <w:rFonts w:ascii="Times New Roman" w:hAnsi="Times New Roman" w:cs="Times New Roman"/>
                <w:lang w:val="es-ES"/>
              </w:rPr>
            </w:pPr>
            <w:r w:rsidRPr="00C903A8">
              <w:rPr>
                <w:rFonts w:ascii="Times New Roman" w:hAnsi="Times New Roman" w:cs="Times New Roman"/>
                <w:lang w:val="es-ES"/>
              </w:rPr>
              <w:t>Programa educativo</w:t>
            </w:r>
          </w:p>
        </w:tc>
        <w:tc>
          <w:tcPr>
            <w:tcW w:w="1537" w:type="dxa"/>
          </w:tcPr>
          <w:p w14:paraId="3D857BC0" w14:textId="5401190D" w:rsidR="004811A0" w:rsidRPr="00C903A8" w:rsidRDefault="004811A0" w:rsidP="00C903A8">
            <w:pPr>
              <w:jc w:val="both"/>
              <w:rPr>
                <w:rFonts w:ascii="Times New Roman" w:hAnsi="Times New Roman" w:cs="Times New Roman"/>
                <w:lang w:val="es-ES"/>
              </w:rPr>
            </w:pPr>
            <w:r w:rsidRPr="00C903A8">
              <w:rPr>
                <w:rFonts w:ascii="Times New Roman" w:hAnsi="Times New Roman" w:cs="Times New Roman"/>
                <w:lang w:val="es-ES"/>
              </w:rPr>
              <w:t>Estudiantes</w:t>
            </w:r>
          </w:p>
        </w:tc>
        <w:tc>
          <w:tcPr>
            <w:tcW w:w="2255" w:type="dxa"/>
          </w:tcPr>
          <w:p w14:paraId="7631BCDC" w14:textId="6B75016F" w:rsidR="004811A0" w:rsidRPr="00C903A8" w:rsidRDefault="004811A0" w:rsidP="00C903A8">
            <w:pPr>
              <w:jc w:val="both"/>
              <w:rPr>
                <w:rFonts w:ascii="Times New Roman" w:hAnsi="Times New Roman" w:cs="Times New Roman"/>
                <w:lang w:val="es-ES"/>
              </w:rPr>
            </w:pPr>
            <w:r w:rsidRPr="00C903A8">
              <w:rPr>
                <w:rFonts w:ascii="Times New Roman" w:hAnsi="Times New Roman" w:cs="Times New Roman"/>
                <w:lang w:val="es-ES"/>
              </w:rPr>
              <w:t>Porcentaje</w:t>
            </w:r>
          </w:p>
        </w:tc>
      </w:tr>
      <w:tr w:rsidR="004811A0" w:rsidRPr="00C903A8" w14:paraId="2B911399" w14:textId="6D2739C8" w:rsidTr="00041B5E">
        <w:trPr>
          <w:jc w:val="center"/>
        </w:trPr>
        <w:tc>
          <w:tcPr>
            <w:tcW w:w="704" w:type="dxa"/>
          </w:tcPr>
          <w:p w14:paraId="506D6ED7" w14:textId="3C1B14B9"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1</w:t>
            </w:r>
          </w:p>
        </w:tc>
        <w:tc>
          <w:tcPr>
            <w:tcW w:w="4611" w:type="dxa"/>
          </w:tcPr>
          <w:p w14:paraId="1141FCEF" w14:textId="1349CAF2" w:rsidR="004811A0" w:rsidRPr="00C903A8" w:rsidRDefault="004811A0" w:rsidP="00C903A8">
            <w:pPr>
              <w:rPr>
                <w:rFonts w:ascii="Times New Roman" w:hAnsi="Times New Roman" w:cs="Times New Roman"/>
                <w:lang w:val="es-ES"/>
              </w:rPr>
            </w:pPr>
            <w:r w:rsidRPr="00C903A8">
              <w:rPr>
                <w:rFonts w:ascii="Times New Roman" w:hAnsi="Times New Roman" w:cs="Times New Roman"/>
                <w:lang w:val="es-ES"/>
              </w:rPr>
              <w:t>Administración</w:t>
            </w:r>
          </w:p>
        </w:tc>
        <w:tc>
          <w:tcPr>
            <w:tcW w:w="1537" w:type="dxa"/>
          </w:tcPr>
          <w:p w14:paraId="4595873C" w14:textId="426F50D0"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352</w:t>
            </w:r>
          </w:p>
        </w:tc>
        <w:tc>
          <w:tcPr>
            <w:tcW w:w="2255" w:type="dxa"/>
          </w:tcPr>
          <w:p w14:paraId="14E0A339" w14:textId="7616AE71"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34.58</w:t>
            </w:r>
          </w:p>
        </w:tc>
      </w:tr>
      <w:tr w:rsidR="004811A0" w:rsidRPr="00C903A8" w14:paraId="21537E1A" w14:textId="08E27509" w:rsidTr="00041B5E">
        <w:trPr>
          <w:jc w:val="center"/>
        </w:trPr>
        <w:tc>
          <w:tcPr>
            <w:tcW w:w="704" w:type="dxa"/>
          </w:tcPr>
          <w:p w14:paraId="77A9A5F3" w14:textId="18B32313"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2</w:t>
            </w:r>
          </w:p>
        </w:tc>
        <w:tc>
          <w:tcPr>
            <w:tcW w:w="4611" w:type="dxa"/>
          </w:tcPr>
          <w:p w14:paraId="42506585" w14:textId="564F3F2C" w:rsidR="004811A0" w:rsidRPr="00C903A8" w:rsidRDefault="004811A0" w:rsidP="00C903A8">
            <w:pPr>
              <w:rPr>
                <w:rFonts w:ascii="Times New Roman" w:hAnsi="Times New Roman" w:cs="Times New Roman"/>
                <w:lang w:val="es-ES"/>
              </w:rPr>
            </w:pPr>
            <w:r w:rsidRPr="00C903A8">
              <w:rPr>
                <w:rFonts w:ascii="Times New Roman" w:hAnsi="Times New Roman" w:cs="Times New Roman"/>
                <w:lang w:val="es-ES"/>
              </w:rPr>
              <w:t>Contabilidad</w:t>
            </w:r>
          </w:p>
        </w:tc>
        <w:tc>
          <w:tcPr>
            <w:tcW w:w="1537" w:type="dxa"/>
          </w:tcPr>
          <w:p w14:paraId="6F91DE93" w14:textId="185AD858"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281</w:t>
            </w:r>
          </w:p>
        </w:tc>
        <w:tc>
          <w:tcPr>
            <w:tcW w:w="2255" w:type="dxa"/>
          </w:tcPr>
          <w:p w14:paraId="72B09E00" w14:textId="223583A8"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27.60</w:t>
            </w:r>
          </w:p>
        </w:tc>
      </w:tr>
      <w:tr w:rsidR="004811A0" w:rsidRPr="00C903A8" w14:paraId="491A86C4" w14:textId="7CAA6DFE" w:rsidTr="00041B5E">
        <w:trPr>
          <w:jc w:val="center"/>
        </w:trPr>
        <w:tc>
          <w:tcPr>
            <w:tcW w:w="704" w:type="dxa"/>
          </w:tcPr>
          <w:p w14:paraId="1B197CAC" w14:textId="74AD34F4"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3</w:t>
            </w:r>
          </w:p>
        </w:tc>
        <w:tc>
          <w:tcPr>
            <w:tcW w:w="4611" w:type="dxa"/>
          </w:tcPr>
          <w:p w14:paraId="3BD08210" w14:textId="48355590" w:rsidR="004811A0" w:rsidRPr="00C903A8" w:rsidRDefault="004811A0" w:rsidP="00C903A8">
            <w:pPr>
              <w:rPr>
                <w:rFonts w:ascii="Times New Roman" w:hAnsi="Times New Roman" w:cs="Times New Roman"/>
                <w:lang w:val="es-ES"/>
              </w:rPr>
            </w:pPr>
            <w:r w:rsidRPr="00C903A8">
              <w:rPr>
                <w:rFonts w:ascii="Times New Roman" w:hAnsi="Times New Roman" w:cs="Times New Roman"/>
                <w:lang w:val="es-ES"/>
              </w:rPr>
              <w:t xml:space="preserve">Sistemas </w:t>
            </w:r>
            <w:r w:rsidR="00AD0916" w:rsidRPr="00C903A8">
              <w:rPr>
                <w:rFonts w:ascii="Times New Roman" w:hAnsi="Times New Roman" w:cs="Times New Roman"/>
                <w:lang w:val="es-ES"/>
              </w:rPr>
              <w:t>Computacionales</w:t>
            </w:r>
            <w:r w:rsidRPr="00C903A8">
              <w:rPr>
                <w:rFonts w:ascii="Times New Roman" w:hAnsi="Times New Roman" w:cs="Times New Roman"/>
                <w:lang w:val="es-ES"/>
              </w:rPr>
              <w:t xml:space="preserve"> Administrativos</w:t>
            </w:r>
          </w:p>
        </w:tc>
        <w:tc>
          <w:tcPr>
            <w:tcW w:w="1537" w:type="dxa"/>
          </w:tcPr>
          <w:p w14:paraId="14B137F1" w14:textId="3759D616"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226</w:t>
            </w:r>
          </w:p>
        </w:tc>
        <w:tc>
          <w:tcPr>
            <w:tcW w:w="2255" w:type="dxa"/>
          </w:tcPr>
          <w:p w14:paraId="314A9D30" w14:textId="1AFF3674"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22.20</w:t>
            </w:r>
          </w:p>
        </w:tc>
      </w:tr>
      <w:tr w:rsidR="004811A0" w:rsidRPr="00C903A8" w14:paraId="4C8BE758" w14:textId="167D1448" w:rsidTr="00041B5E">
        <w:trPr>
          <w:jc w:val="center"/>
        </w:trPr>
        <w:tc>
          <w:tcPr>
            <w:tcW w:w="704" w:type="dxa"/>
          </w:tcPr>
          <w:p w14:paraId="19B0D6B6" w14:textId="51F31B65"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4</w:t>
            </w:r>
          </w:p>
        </w:tc>
        <w:tc>
          <w:tcPr>
            <w:tcW w:w="4611" w:type="dxa"/>
          </w:tcPr>
          <w:p w14:paraId="3029BEDD" w14:textId="0B637950" w:rsidR="004811A0" w:rsidRPr="00C903A8" w:rsidRDefault="004811A0" w:rsidP="00C903A8">
            <w:pPr>
              <w:rPr>
                <w:rFonts w:ascii="Times New Roman" w:hAnsi="Times New Roman" w:cs="Times New Roman"/>
                <w:lang w:val="es-ES"/>
              </w:rPr>
            </w:pPr>
            <w:r w:rsidRPr="00C903A8">
              <w:rPr>
                <w:rFonts w:ascii="Times New Roman" w:hAnsi="Times New Roman" w:cs="Times New Roman"/>
                <w:lang w:val="es-ES"/>
              </w:rPr>
              <w:t xml:space="preserve">Gestión </w:t>
            </w:r>
            <w:r w:rsidR="00010BF5" w:rsidRPr="00C903A8">
              <w:rPr>
                <w:rFonts w:ascii="Times New Roman" w:hAnsi="Times New Roman" w:cs="Times New Roman"/>
                <w:lang w:val="es-ES"/>
              </w:rPr>
              <w:t>y Dirección de</w:t>
            </w:r>
            <w:r w:rsidRPr="00C903A8">
              <w:rPr>
                <w:rFonts w:ascii="Times New Roman" w:hAnsi="Times New Roman" w:cs="Times New Roman"/>
                <w:lang w:val="es-ES"/>
              </w:rPr>
              <w:t xml:space="preserve"> Negocio</w:t>
            </w:r>
            <w:r w:rsidR="00010BF5" w:rsidRPr="00C903A8">
              <w:rPr>
                <w:rFonts w:ascii="Times New Roman" w:hAnsi="Times New Roman" w:cs="Times New Roman"/>
                <w:lang w:val="es-ES"/>
              </w:rPr>
              <w:t>s</w:t>
            </w:r>
          </w:p>
        </w:tc>
        <w:tc>
          <w:tcPr>
            <w:tcW w:w="1537" w:type="dxa"/>
          </w:tcPr>
          <w:p w14:paraId="57B763EA" w14:textId="2B5FC0E0"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159</w:t>
            </w:r>
          </w:p>
        </w:tc>
        <w:tc>
          <w:tcPr>
            <w:tcW w:w="2255" w:type="dxa"/>
          </w:tcPr>
          <w:p w14:paraId="577FB977" w14:textId="4CB20B5F" w:rsidR="004811A0" w:rsidRPr="00C903A8" w:rsidRDefault="004811A0" w:rsidP="00C903A8">
            <w:pPr>
              <w:jc w:val="center"/>
              <w:rPr>
                <w:rFonts w:ascii="Times New Roman" w:hAnsi="Times New Roman" w:cs="Times New Roman"/>
                <w:lang w:val="es-ES"/>
              </w:rPr>
            </w:pPr>
            <w:r w:rsidRPr="00C903A8">
              <w:rPr>
                <w:rFonts w:ascii="Times New Roman" w:hAnsi="Times New Roman" w:cs="Times New Roman"/>
                <w:lang w:val="es-ES"/>
              </w:rPr>
              <w:t>15.62</w:t>
            </w:r>
          </w:p>
        </w:tc>
      </w:tr>
    </w:tbl>
    <w:p w14:paraId="284EE96B" w14:textId="77777777" w:rsidR="00041B5E" w:rsidRPr="00C903A8" w:rsidRDefault="00041B5E" w:rsidP="00041B5E">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Pr="00C903A8">
        <w:rPr>
          <w:sz w:val="24"/>
          <w:szCs w:val="24"/>
          <w:lang w:val="es-ES"/>
        </w:rPr>
        <w:t xml:space="preserve"> Elaboración propia.</w:t>
      </w:r>
    </w:p>
    <w:p w14:paraId="765D8576" w14:textId="77777777" w:rsidR="00041B5E" w:rsidRDefault="00041B5E" w:rsidP="00041B5E">
      <w:pPr>
        <w:jc w:val="both"/>
        <w:rPr>
          <w:rFonts w:ascii="Times New Roman" w:hAnsi="Times New Roman" w:cs="Times New Roman"/>
          <w:lang w:val="es-ES"/>
        </w:rPr>
      </w:pPr>
    </w:p>
    <w:p w14:paraId="4D0B5E61" w14:textId="77777777" w:rsidR="00041B5E" w:rsidRDefault="00041B5E" w:rsidP="00041B5E">
      <w:pPr>
        <w:jc w:val="both"/>
        <w:rPr>
          <w:rFonts w:ascii="Times New Roman" w:hAnsi="Times New Roman" w:cs="Times New Roman"/>
          <w:lang w:val="es-ES"/>
        </w:rPr>
      </w:pPr>
    </w:p>
    <w:p w14:paraId="0B9138B7" w14:textId="77777777" w:rsidR="00041B5E" w:rsidRDefault="00041B5E" w:rsidP="00041B5E">
      <w:pPr>
        <w:jc w:val="both"/>
        <w:rPr>
          <w:rFonts w:ascii="Times New Roman" w:hAnsi="Times New Roman" w:cs="Times New Roman"/>
          <w:lang w:val="es-ES"/>
        </w:rPr>
      </w:pPr>
    </w:p>
    <w:p w14:paraId="7D5B7AA3" w14:textId="48309A03" w:rsidR="00D912CC" w:rsidRDefault="00D912CC" w:rsidP="00041B5E">
      <w:pPr>
        <w:jc w:val="both"/>
        <w:rPr>
          <w:rFonts w:ascii="Times New Roman" w:hAnsi="Times New Roman" w:cs="Times New Roman"/>
          <w:lang w:val="es-ES"/>
        </w:rPr>
      </w:pPr>
      <w:r w:rsidRPr="00C903A8">
        <w:rPr>
          <w:rFonts w:ascii="Times New Roman" w:hAnsi="Times New Roman" w:cs="Times New Roman"/>
          <w:lang w:val="es-ES"/>
        </w:rPr>
        <w:t xml:space="preserve">Es importante señalar que este trabajo de investigación es una continuación de un </w:t>
      </w:r>
      <w:r w:rsidR="00561569" w:rsidRPr="00C903A8">
        <w:rPr>
          <w:rFonts w:ascii="Times New Roman" w:hAnsi="Times New Roman" w:cs="Times New Roman"/>
          <w:lang w:val="es-ES"/>
        </w:rPr>
        <w:t>estudio</w:t>
      </w:r>
      <w:r w:rsidRPr="00C903A8">
        <w:rPr>
          <w:rFonts w:ascii="Times New Roman" w:hAnsi="Times New Roman" w:cs="Times New Roman"/>
          <w:lang w:val="es-ES"/>
        </w:rPr>
        <w:t xml:space="preserve"> preliminar realizad</w:t>
      </w:r>
      <w:r w:rsidR="00561569" w:rsidRPr="00C903A8">
        <w:rPr>
          <w:rFonts w:ascii="Times New Roman" w:hAnsi="Times New Roman" w:cs="Times New Roman"/>
          <w:lang w:val="es-ES"/>
        </w:rPr>
        <w:t>o</w:t>
      </w:r>
      <w:r w:rsidRPr="00C903A8">
        <w:rPr>
          <w:rFonts w:ascii="Times New Roman" w:hAnsi="Times New Roman" w:cs="Times New Roman"/>
          <w:lang w:val="es-ES"/>
        </w:rPr>
        <w:t xml:space="preserve"> en 2021 (Otero, 2021), donde se buscó identificar las causas que generaban el abandono universitario en el área económico-administrativa de la Universidad Veracruzana. El propósito fue proponer estrategias que permitan atender esta problemática. Para lo cual, se entrevistaron a 532 estudiantes de los cuatro programas educativos previamente mencionados.</w:t>
      </w:r>
    </w:p>
    <w:p w14:paraId="7F1256D0" w14:textId="77777777" w:rsidR="00041B5E" w:rsidRDefault="00041B5E" w:rsidP="00041B5E">
      <w:pPr>
        <w:jc w:val="both"/>
        <w:rPr>
          <w:rFonts w:ascii="Times New Roman" w:hAnsi="Times New Roman" w:cs="Times New Roman"/>
          <w:lang w:val="es-ES"/>
        </w:rPr>
      </w:pPr>
    </w:p>
    <w:p w14:paraId="4522E457" w14:textId="5D396CDE" w:rsidR="002B72EE" w:rsidRDefault="00BC6A98" w:rsidP="00041B5E">
      <w:pPr>
        <w:jc w:val="both"/>
        <w:rPr>
          <w:rFonts w:ascii="Times New Roman" w:hAnsi="Times New Roman" w:cs="Times New Roman"/>
          <w:lang w:val="es-MX"/>
        </w:rPr>
      </w:pPr>
      <w:r w:rsidRPr="00C903A8">
        <w:rPr>
          <w:rFonts w:ascii="Times New Roman" w:hAnsi="Times New Roman" w:cs="Times New Roman"/>
          <w:lang w:val="es-ES"/>
        </w:rPr>
        <w:t>En este sentido, para</w:t>
      </w:r>
      <w:r w:rsidR="00D912CC" w:rsidRPr="00C903A8">
        <w:rPr>
          <w:rFonts w:ascii="Times New Roman" w:hAnsi="Times New Roman" w:cs="Times New Roman"/>
          <w:lang w:val="es-ES"/>
        </w:rPr>
        <w:t xml:space="preserve"> </w:t>
      </w:r>
      <w:r w:rsidRPr="00C903A8">
        <w:rPr>
          <w:rFonts w:ascii="Times New Roman" w:hAnsi="Times New Roman" w:cs="Times New Roman"/>
          <w:lang w:val="es-ES"/>
        </w:rPr>
        <w:t>esta investigación,</w:t>
      </w:r>
      <w:r w:rsidR="00D912CC" w:rsidRPr="00C903A8">
        <w:rPr>
          <w:rFonts w:ascii="Times New Roman" w:hAnsi="Times New Roman" w:cs="Times New Roman"/>
          <w:lang w:val="es-ES"/>
        </w:rPr>
        <w:t xml:space="preserve"> </w:t>
      </w:r>
      <w:r w:rsidRPr="00C903A8">
        <w:rPr>
          <w:rFonts w:ascii="Times New Roman" w:hAnsi="Times New Roman" w:cs="Times New Roman"/>
          <w:lang w:val="es-ES"/>
        </w:rPr>
        <w:t>se amplió la población encuestada</w:t>
      </w:r>
      <w:r w:rsidR="002B72EE" w:rsidRPr="00C903A8">
        <w:rPr>
          <w:rFonts w:ascii="Times New Roman" w:hAnsi="Times New Roman" w:cs="Times New Roman"/>
          <w:lang w:val="es-ES"/>
        </w:rPr>
        <w:t xml:space="preserve">, realizada entre septiembre y octubre de 2024. La cual </w:t>
      </w:r>
      <w:r w:rsidRPr="00C903A8">
        <w:rPr>
          <w:rFonts w:ascii="Times New Roman" w:hAnsi="Times New Roman" w:cs="Times New Roman"/>
          <w:lang w:val="es-ES"/>
        </w:rPr>
        <w:t>estuvo dirigida a estudiantes activos</w:t>
      </w:r>
      <w:r w:rsidR="002B72EE" w:rsidRPr="00C903A8">
        <w:rPr>
          <w:rFonts w:ascii="Times New Roman" w:hAnsi="Times New Roman" w:cs="Times New Roman"/>
          <w:lang w:val="es-ES"/>
        </w:rPr>
        <w:t xml:space="preserve">, </w:t>
      </w:r>
      <w:r w:rsidR="002B72EE" w:rsidRPr="00C903A8">
        <w:rPr>
          <w:rFonts w:ascii="Times New Roman" w:hAnsi="Times New Roman" w:cs="Times New Roman"/>
          <w:lang w:val="es-MX"/>
        </w:rPr>
        <w:t>mayores de 18 años,</w:t>
      </w:r>
      <w:r w:rsidRPr="00C903A8">
        <w:rPr>
          <w:rFonts w:ascii="Times New Roman" w:hAnsi="Times New Roman" w:cs="Times New Roman"/>
          <w:lang w:val="es-ES"/>
        </w:rPr>
        <w:t xml:space="preserve"> de diferentes semestres</w:t>
      </w:r>
      <w:r w:rsidR="002B72EE" w:rsidRPr="00C903A8">
        <w:rPr>
          <w:rFonts w:ascii="Times New Roman" w:hAnsi="Times New Roman" w:cs="Times New Roman"/>
          <w:lang w:val="es-ES"/>
        </w:rPr>
        <w:t>;</w:t>
      </w:r>
      <w:r w:rsidRPr="00C903A8">
        <w:rPr>
          <w:rFonts w:ascii="Times New Roman" w:hAnsi="Times New Roman" w:cs="Times New Roman"/>
          <w:lang w:val="es-ES"/>
        </w:rPr>
        <w:t xml:space="preserve"> </w:t>
      </w:r>
      <w:r w:rsidR="002B72EE" w:rsidRPr="00C903A8">
        <w:rPr>
          <w:rFonts w:ascii="Times New Roman" w:hAnsi="Times New Roman" w:cs="Times New Roman"/>
          <w:lang w:val="es-ES"/>
        </w:rPr>
        <w:t>teniendo una</w:t>
      </w:r>
      <w:r w:rsidRPr="00C903A8">
        <w:rPr>
          <w:rFonts w:ascii="Times New Roman" w:hAnsi="Times New Roman" w:cs="Times New Roman"/>
          <w:lang w:val="es-ES"/>
        </w:rPr>
        <w:t xml:space="preserve"> mayor tasa de participación voluntaria </w:t>
      </w:r>
      <w:r w:rsidR="002B72EE" w:rsidRPr="00C903A8">
        <w:rPr>
          <w:rFonts w:ascii="Times New Roman" w:hAnsi="Times New Roman" w:cs="Times New Roman"/>
          <w:lang w:val="es-ES"/>
        </w:rPr>
        <w:t>de estudiantes</w:t>
      </w:r>
      <w:r w:rsidRPr="00C903A8">
        <w:rPr>
          <w:rFonts w:ascii="Times New Roman" w:hAnsi="Times New Roman" w:cs="Times New Roman"/>
          <w:lang w:val="es-ES"/>
        </w:rPr>
        <w:t xml:space="preserve"> de</w:t>
      </w:r>
      <w:r w:rsidR="002B72EE" w:rsidRPr="00C903A8">
        <w:rPr>
          <w:rFonts w:ascii="Times New Roman" w:hAnsi="Times New Roman" w:cs="Times New Roman"/>
          <w:lang w:val="es-ES"/>
        </w:rPr>
        <w:t>l</w:t>
      </w:r>
      <w:r w:rsidRPr="00C903A8">
        <w:rPr>
          <w:rFonts w:ascii="Times New Roman" w:hAnsi="Times New Roman" w:cs="Times New Roman"/>
          <w:lang w:val="es-ES"/>
        </w:rPr>
        <w:t xml:space="preserve"> segundo, cuarto y sexto semestre.</w:t>
      </w:r>
      <w:r w:rsidR="002B72EE" w:rsidRPr="00C903A8">
        <w:rPr>
          <w:rFonts w:ascii="Times New Roman" w:hAnsi="Times New Roman" w:cs="Times New Roman"/>
          <w:lang w:val="es-ES"/>
        </w:rPr>
        <w:t xml:space="preserve"> </w:t>
      </w:r>
      <w:r w:rsidR="00AD0916" w:rsidRPr="00C903A8">
        <w:rPr>
          <w:rFonts w:ascii="Times New Roman" w:hAnsi="Times New Roman" w:cs="Times New Roman"/>
          <w:lang w:val="es-MX"/>
        </w:rPr>
        <w:t xml:space="preserve">Además, se observó una mayor tasa de participación entre las estudiantes </w:t>
      </w:r>
      <w:r w:rsidR="00AD0916" w:rsidRPr="00C903A8">
        <w:rPr>
          <w:rFonts w:ascii="Times New Roman" w:hAnsi="Times New Roman" w:cs="Times New Roman"/>
          <w:lang w:val="es-ES"/>
        </w:rPr>
        <w:t xml:space="preserve">mujeres </w:t>
      </w:r>
      <w:r w:rsidR="00AD0916" w:rsidRPr="00C903A8">
        <w:rPr>
          <w:rFonts w:ascii="Times New Roman" w:hAnsi="Times New Roman" w:cs="Times New Roman"/>
          <w:lang w:val="es-MX"/>
        </w:rPr>
        <w:t>(536) en comparación con la población masculina (482), como se muestra en la Figura 2.</w:t>
      </w:r>
    </w:p>
    <w:p w14:paraId="5F769B50" w14:textId="77777777" w:rsidR="00041B5E" w:rsidRDefault="00041B5E" w:rsidP="00041B5E">
      <w:pPr>
        <w:jc w:val="both"/>
        <w:rPr>
          <w:rFonts w:ascii="Times New Roman" w:hAnsi="Times New Roman" w:cs="Times New Roman"/>
          <w:lang w:val="es-MX"/>
        </w:rPr>
      </w:pPr>
    </w:p>
    <w:p w14:paraId="504235A7" w14:textId="77777777" w:rsidR="00041B5E" w:rsidRDefault="00041B5E" w:rsidP="00041B5E">
      <w:pPr>
        <w:jc w:val="both"/>
        <w:rPr>
          <w:rFonts w:ascii="Times New Roman" w:hAnsi="Times New Roman" w:cs="Times New Roman"/>
          <w:lang w:val="es-MX"/>
        </w:rPr>
      </w:pPr>
    </w:p>
    <w:p w14:paraId="148589A0" w14:textId="77777777" w:rsidR="00041B5E" w:rsidRDefault="00041B5E" w:rsidP="00041B5E">
      <w:pPr>
        <w:jc w:val="both"/>
        <w:rPr>
          <w:rFonts w:ascii="Times New Roman" w:hAnsi="Times New Roman" w:cs="Times New Roman"/>
          <w:lang w:val="es-MX"/>
        </w:rPr>
      </w:pPr>
    </w:p>
    <w:p w14:paraId="53F4262D" w14:textId="77777777" w:rsidR="00041B5E" w:rsidRDefault="00041B5E" w:rsidP="00041B5E">
      <w:pPr>
        <w:jc w:val="both"/>
        <w:rPr>
          <w:rFonts w:ascii="Times New Roman" w:hAnsi="Times New Roman" w:cs="Times New Roman"/>
          <w:lang w:val="es-MX"/>
        </w:rPr>
      </w:pPr>
    </w:p>
    <w:p w14:paraId="091C746F" w14:textId="77777777" w:rsidR="00041B5E" w:rsidRDefault="00041B5E" w:rsidP="00041B5E">
      <w:pPr>
        <w:jc w:val="both"/>
        <w:rPr>
          <w:rFonts w:ascii="Times New Roman" w:hAnsi="Times New Roman" w:cs="Times New Roman"/>
          <w:lang w:val="es-MX"/>
        </w:rPr>
      </w:pPr>
    </w:p>
    <w:p w14:paraId="47579F15" w14:textId="77777777" w:rsidR="00041B5E" w:rsidRPr="00C903A8" w:rsidRDefault="00041B5E" w:rsidP="00041B5E">
      <w:pPr>
        <w:pStyle w:val="figurecaption"/>
        <w:numPr>
          <w:ilvl w:val="0"/>
          <w:numId w:val="0"/>
        </w:numPr>
        <w:spacing w:before="0" w:after="0"/>
        <w:ind w:left="357"/>
        <w:rPr>
          <w:sz w:val="24"/>
          <w:szCs w:val="24"/>
          <w:lang w:val="es-ES"/>
        </w:rPr>
      </w:pPr>
      <w:r w:rsidRPr="00C903A8">
        <w:rPr>
          <w:b/>
          <w:bCs/>
          <w:sz w:val="24"/>
          <w:szCs w:val="24"/>
          <w:lang w:val="es-ES"/>
        </w:rPr>
        <w:t>Figura 2.</w:t>
      </w:r>
      <w:r w:rsidRPr="00C903A8">
        <w:rPr>
          <w:sz w:val="24"/>
          <w:szCs w:val="24"/>
          <w:lang w:val="es-ES"/>
        </w:rPr>
        <w:t xml:space="preserve"> Sexo de los estudiantes encuestados.</w:t>
      </w:r>
    </w:p>
    <w:p w14:paraId="27B78795" w14:textId="77777777" w:rsidR="00041B5E" w:rsidRPr="00C903A8" w:rsidRDefault="00041B5E" w:rsidP="00041B5E">
      <w:pPr>
        <w:jc w:val="both"/>
        <w:rPr>
          <w:rFonts w:ascii="Times New Roman" w:hAnsi="Times New Roman" w:cs="Times New Roman"/>
          <w:lang w:val="es-MX"/>
        </w:rPr>
      </w:pPr>
    </w:p>
    <w:p w14:paraId="73380520" w14:textId="47298EE4" w:rsidR="00511870" w:rsidRPr="00C903A8" w:rsidRDefault="00511870" w:rsidP="00C903A8">
      <w:pPr>
        <w:jc w:val="center"/>
        <w:rPr>
          <w:rFonts w:ascii="Times New Roman" w:hAnsi="Times New Roman" w:cs="Times New Roman"/>
          <w:lang w:val="es-ES"/>
        </w:rPr>
      </w:pPr>
      <w:r w:rsidRPr="00C903A8">
        <w:rPr>
          <w:rFonts w:ascii="FS Brabo" w:eastAsia="FS Brabo" w:hAnsi="FS Brabo" w:cs="FS Brabo"/>
          <w:noProof/>
        </w:rPr>
        <w:lastRenderedPageBreak/>
        <w:drawing>
          <wp:inline distT="114300" distB="114300" distL="114300" distR="114300" wp14:anchorId="205B9AD2" wp14:editId="6434C5A1">
            <wp:extent cx="5057775" cy="2066925"/>
            <wp:effectExtent l="0" t="0" r="0" b="0"/>
            <wp:docPr id="2103168101" name="Imagen 2"/>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146631" cy="2103237"/>
                    </a:xfrm>
                    <a:prstGeom prst="rect">
                      <a:avLst/>
                    </a:prstGeom>
                    <a:ln/>
                  </pic:spPr>
                </pic:pic>
              </a:graphicData>
            </a:graphic>
          </wp:inline>
        </w:drawing>
      </w:r>
    </w:p>
    <w:p w14:paraId="541E15B6" w14:textId="77777777" w:rsidR="00A1700E" w:rsidRPr="00C903A8" w:rsidRDefault="00A1700E" w:rsidP="00C903A8">
      <w:pPr>
        <w:ind w:firstLine="720"/>
        <w:jc w:val="center"/>
        <w:rPr>
          <w:rFonts w:ascii="Times New Roman" w:hAnsi="Times New Roman" w:cs="Times New Roman"/>
          <w:lang w:val="es-ES"/>
        </w:rPr>
      </w:pPr>
    </w:p>
    <w:p w14:paraId="179A0C9B" w14:textId="77777777" w:rsidR="00041B5E" w:rsidRDefault="00041B5E" w:rsidP="00041B5E">
      <w:pPr>
        <w:jc w:val="both"/>
        <w:rPr>
          <w:rFonts w:ascii="Times New Roman" w:hAnsi="Times New Roman" w:cs="Times New Roman"/>
          <w:lang w:val="es-ES"/>
        </w:rPr>
      </w:pPr>
    </w:p>
    <w:p w14:paraId="7CD5E6AA" w14:textId="77777777" w:rsidR="00041B5E" w:rsidRPr="00C903A8" w:rsidRDefault="00041B5E" w:rsidP="00041B5E">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Pr="00C903A8">
        <w:rPr>
          <w:sz w:val="24"/>
          <w:szCs w:val="24"/>
          <w:lang w:val="es-ES"/>
        </w:rPr>
        <w:t xml:space="preserve"> Elaboración propia.</w:t>
      </w:r>
    </w:p>
    <w:p w14:paraId="34FF100E" w14:textId="77777777" w:rsidR="00041B5E" w:rsidRDefault="00041B5E" w:rsidP="00041B5E">
      <w:pPr>
        <w:jc w:val="both"/>
        <w:rPr>
          <w:rFonts w:ascii="Times New Roman" w:hAnsi="Times New Roman" w:cs="Times New Roman"/>
          <w:lang w:val="es-ES"/>
        </w:rPr>
      </w:pPr>
    </w:p>
    <w:p w14:paraId="05158019" w14:textId="77777777" w:rsidR="00041B5E" w:rsidRDefault="00041B5E" w:rsidP="00041B5E">
      <w:pPr>
        <w:jc w:val="both"/>
        <w:rPr>
          <w:rFonts w:ascii="Times New Roman" w:hAnsi="Times New Roman" w:cs="Times New Roman"/>
          <w:lang w:val="es-ES"/>
        </w:rPr>
      </w:pPr>
    </w:p>
    <w:p w14:paraId="0790F658" w14:textId="0BE2564D" w:rsidR="00511870" w:rsidRPr="00C903A8" w:rsidRDefault="00511870" w:rsidP="00041B5E">
      <w:pPr>
        <w:jc w:val="both"/>
        <w:rPr>
          <w:rFonts w:ascii="Times New Roman" w:hAnsi="Times New Roman" w:cs="Times New Roman"/>
          <w:lang w:val="es-ES"/>
        </w:rPr>
      </w:pPr>
      <w:r w:rsidRPr="00C903A8">
        <w:rPr>
          <w:rFonts w:ascii="Times New Roman" w:hAnsi="Times New Roman" w:cs="Times New Roman"/>
          <w:lang w:val="es-ES"/>
        </w:rPr>
        <w:t>La encuesta fue digital</w:t>
      </w:r>
      <w:r w:rsidR="002B72EE" w:rsidRPr="00C903A8">
        <w:rPr>
          <w:rFonts w:ascii="Times New Roman" w:hAnsi="Times New Roman" w:cs="Times New Roman"/>
          <w:lang w:val="es-ES"/>
        </w:rPr>
        <w:t xml:space="preserve">, </w:t>
      </w:r>
      <w:r w:rsidRPr="00C903A8">
        <w:rPr>
          <w:rFonts w:ascii="Times New Roman" w:hAnsi="Times New Roman" w:cs="Times New Roman"/>
          <w:lang w:val="es-ES"/>
        </w:rPr>
        <w:t xml:space="preserve">diseñada </w:t>
      </w:r>
      <w:r w:rsidR="002B72EE" w:rsidRPr="00C903A8">
        <w:rPr>
          <w:rFonts w:ascii="Times New Roman" w:hAnsi="Times New Roman" w:cs="Times New Roman"/>
          <w:lang w:val="es-ES"/>
        </w:rPr>
        <w:t xml:space="preserve">y dirigida </w:t>
      </w:r>
      <w:r w:rsidRPr="00C903A8">
        <w:rPr>
          <w:rFonts w:ascii="Times New Roman" w:hAnsi="Times New Roman" w:cs="Times New Roman"/>
          <w:lang w:val="es-ES"/>
        </w:rPr>
        <w:t>por académicos de los cuatro programas educativos</w:t>
      </w:r>
      <w:r w:rsidR="002B72EE" w:rsidRPr="00C903A8">
        <w:rPr>
          <w:rFonts w:ascii="Times New Roman" w:hAnsi="Times New Roman" w:cs="Times New Roman"/>
          <w:lang w:val="es-ES"/>
        </w:rPr>
        <w:t xml:space="preserve"> mencionados</w:t>
      </w:r>
      <w:r w:rsidRPr="00C903A8">
        <w:rPr>
          <w:rFonts w:ascii="Times New Roman" w:hAnsi="Times New Roman" w:cs="Times New Roman"/>
          <w:lang w:val="es-ES"/>
        </w:rPr>
        <w:t>. Por lo tanto, se recopilaron una serie de factores (variables) asociados con</w:t>
      </w:r>
      <w:r w:rsidR="00E95C8B" w:rsidRPr="00C903A8">
        <w:rPr>
          <w:rFonts w:ascii="Times New Roman" w:hAnsi="Times New Roman" w:cs="Times New Roman"/>
          <w:lang w:val="es-ES"/>
        </w:rPr>
        <w:t xml:space="preserve"> el abandono</w:t>
      </w:r>
      <w:r w:rsidRPr="00C903A8">
        <w:rPr>
          <w:rFonts w:ascii="Times New Roman" w:hAnsi="Times New Roman" w:cs="Times New Roman"/>
          <w:lang w:val="es-ES"/>
        </w:rPr>
        <w:t xml:space="preserve"> escolar, como la deserción por falta de mobiliario y equipo especializado; el trato del profesorado; la ubicación geográfica; los conflictos entre compañeros y profesores; la situación económica; los problemas familiares o laborales; los costos de matrícula; y otros factores que influyen en </w:t>
      </w:r>
      <w:r w:rsidR="00E95C8B" w:rsidRPr="00C903A8">
        <w:rPr>
          <w:rFonts w:ascii="Times New Roman" w:hAnsi="Times New Roman" w:cs="Times New Roman"/>
          <w:lang w:val="es-ES"/>
        </w:rPr>
        <w:t xml:space="preserve">el abandono </w:t>
      </w:r>
      <w:r w:rsidRPr="00C903A8">
        <w:rPr>
          <w:rFonts w:ascii="Times New Roman" w:hAnsi="Times New Roman" w:cs="Times New Roman"/>
          <w:lang w:val="es-ES"/>
        </w:rPr>
        <w:t>escolar.</w:t>
      </w:r>
    </w:p>
    <w:p w14:paraId="7D18CBEC" w14:textId="77777777" w:rsidR="008945B7" w:rsidRPr="00C903A8" w:rsidRDefault="008945B7" w:rsidP="00C903A8">
      <w:pPr>
        <w:jc w:val="both"/>
        <w:rPr>
          <w:rFonts w:ascii="Times New Roman" w:hAnsi="Times New Roman" w:cs="Times New Roman"/>
          <w:lang w:val="es-ES"/>
        </w:rPr>
      </w:pPr>
    </w:p>
    <w:p w14:paraId="35AAA5F5" w14:textId="008B02EC" w:rsidR="008945B7" w:rsidRPr="00041B5E" w:rsidRDefault="005029A4" w:rsidP="00C903A8">
      <w:pPr>
        <w:jc w:val="center"/>
        <w:rPr>
          <w:rFonts w:ascii="Times New Roman" w:hAnsi="Times New Roman" w:cs="Times New Roman"/>
          <w:b/>
          <w:bCs/>
          <w:lang w:val="es-ES"/>
        </w:rPr>
      </w:pPr>
      <w:r w:rsidRPr="00041B5E">
        <w:rPr>
          <w:rFonts w:ascii="Times New Roman" w:hAnsi="Times New Roman" w:cs="Times New Roman"/>
          <w:b/>
          <w:bCs/>
          <w:lang w:val="es-ES"/>
        </w:rPr>
        <w:t>Selección de variables</w:t>
      </w:r>
    </w:p>
    <w:p w14:paraId="00D49D74" w14:textId="77777777" w:rsidR="00041B5E" w:rsidRDefault="00041B5E" w:rsidP="00041B5E">
      <w:pPr>
        <w:jc w:val="both"/>
        <w:rPr>
          <w:rFonts w:ascii="Times New Roman" w:hAnsi="Times New Roman" w:cs="Times New Roman"/>
          <w:lang w:val="es-ES"/>
        </w:rPr>
      </w:pPr>
    </w:p>
    <w:p w14:paraId="7B67BC8F" w14:textId="7D99656A" w:rsidR="00F778AA" w:rsidRPr="00C903A8" w:rsidRDefault="00F778AA" w:rsidP="00041B5E">
      <w:pPr>
        <w:jc w:val="both"/>
        <w:rPr>
          <w:rFonts w:ascii="Times New Roman" w:hAnsi="Times New Roman" w:cs="Times New Roman"/>
          <w:lang w:val="es-ES"/>
        </w:rPr>
      </w:pPr>
      <w:r w:rsidRPr="00C903A8">
        <w:rPr>
          <w:rFonts w:ascii="Times New Roman" w:hAnsi="Times New Roman" w:cs="Times New Roman"/>
          <w:lang w:val="es-ES"/>
        </w:rPr>
        <w:t xml:space="preserve">El análisis de datos se realizó en dos etapas. La primera consistió en una revisión preliminar de todas las variables incluidas en la base de datos utilizada para recopilar las encuestas. El propósito fue identificar variables significativas con datos relacionados con </w:t>
      </w:r>
      <w:r w:rsidR="00E95C8B" w:rsidRPr="00C903A8">
        <w:rPr>
          <w:rFonts w:ascii="Times New Roman" w:hAnsi="Times New Roman" w:cs="Times New Roman"/>
          <w:lang w:val="es-ES"/>
        </w:rPr>
        <w:t>el</w:t>
      </w:r>
      <w:r w:rsidRPr="00C903A8">
        <w:rPr>
          <w:rFonts w:ascii="Times New Roman" w:hAnsi="Times New Roman" w:cs="Times New Roman"/>
          <w:lang w:val="es-ES"/>
        </w:rPr>
        <w:t xml:space="preserve"> </w:t>
      </w:r>
      <w:r w:rsidR="00E95C8B" w:rsidRPr="00C903A8">
        <w:rPr>
          <w:rFonts w:ascii="Times New Roman" w:hAnsi="Times New Roman" w:cs="Times New Roman"/>
          <w:lang w:val="es-ES"/>
        </w:rPr>
        <w:t>abandono</w:t>
      </w:r>
      <w:r w:rsidRPr="00C903A8">
        <w:rPr>
          <w:rFonts w:ascii="Times New Roman" w:hAnsi="Times New Roman" w:cs="Times New Roman"/>
          <w:lang w:val="es-ES"/>
        </w:rPr>
        <w:t xml:space="preserve"> escolar. Las variables identificadas fueron rango de edad, sexo, estado civil, lugar de origen, programa educativo, semestre, retiro de una experiencia educativa, cambio de carrera, solicitud de baja temporal y satisfacción con el programa educativo. En cuanto a las variables relacionadas con la salud estudiantil, se identificaron las siguientes: problemas de salud, tratamiento médico o psicológico, participación en actividades deportivas o recreativas, salud física y salud mental. Además, las variables relacionadas con la situación económica incluyeron conflictos familiares o financieros, ingresos familiares, situación laboral y dificultad para cubrir los gastos universitarios. Otras variables que influyen en </w:t>
      </w:r>
      <w:r w:rsidR="00E95C8B" w:rsidRPr="00C903A8">
        <w:rPr>
          <w:rFonts w:ascii="Times New Roman" w:hAnsi="Times New Roman" w:cs="Times New Roman"/>
          <w:lang w:val="es-ES"/>
        </w:rPr>
        <w:t xml:space="preserve">el abandono </w:t>
      </w:r>
      <w:r w:rsidRPr="00C903A8">
        <w:rPr>
          <w:rFonts w:ascii="Times New Roman" w:hAnsi="Times New Roman" w:cs="Times New Roman"/>
          <w:lang w:val="es-ES"/>
        </w:rPr>
        <w:t>escolar incluyen la falta de mobiliario y equipo, el trato por parte del profesorado, la ubicación geográfica y los conflictos entre compañeros y profesorado.</w:t>
      </w:r>
    </w:p>
    <w:p w14:paraId="19C37A8B" w14:textId="77777777" w:rsidR="00041B5E" w:rsidRDefault="00041B5E" w:rsidP="00041B5E">
      <w:pPr>
        <w:jc w:val="both"/>
        <w:rPr>
          <w:rFonts w:ascii="Times New Roman" w:hAnsi="Times New Roman" w:cs="Times New Roman"/>
          <w:lang w:val="es-ES"/>
        </w:rPr>
      </w:pPr>
    </w:p>
    <w:p w14:paraId="5BF9860A" w14:textId="4FC37DF2" w:rsidR="00F778AA" w:rsidRPr="00C903A8" w:rsidRDefault="00F778AA" w:rsidP="00041B5E">
      <w:pPr>
        <w:jc w:val="both"/>
        <w:rPr>
          <w:rFonts w:ascii="Times New Roman" w:hAnsi="Times New Roman" w:cs="Times New Roman"/>
          <w:lang w:val="es-ES"/>
        </w:rPr>
      </w:pPr>
      <w:r w:rsidRPr="00C903A8">
        <w:rPr>
          <w:rFonts w:ascii="Times New Roman" w:hAnsi="Times New Roman" w:cs="Times New Roman"/>
          <w:lang w:val="es-ES"/>
        </w:rPr>
        <w:t xml:space="preserve">En la segunda etapa, se analizaron los principales factores que inciden en </w:t>
      </w:r>
      <w:r w:rsidR="00E95C8B" w:rsidRPr="00C903A8">
        <w:rPr>
          <w:rFonts w:ascii="Times New Roman" w:hAnsi="Times New Roman" w:cs="Times New Roman"/>
          <w:lang w:val="es-ES"/>
        </w:rPr>
        <w:t xml:space="preserve">el abandono </w:t>
      </w:r>
      <w:r w:rsidRPr="00C903A8">
        <w:rPr>
          <w:rFonts w:ascii="Times New Roman" w:hAnsi="Times New Roman" w:cs="Times New Roman"/>
          <w:lang w:val="es-ES"/>
        </w:rPr>
        <w:t xml:space="preserve">escolar. Se analizaron las variables significativas previamente seleccionadas. Del total de variables identificadas en la fase anterior, se seleccionaron 17 estrictamente relacionadas con </w:t>
      </w:r>
      <w:r w:rsidR="00E95C8B" w:rsidRPr="00C903A8">
        <w:rPr>
          <w:rFonts w:ascii="Times New Roman" w:hAnsi="Times New Roman" w:cs="Times New Roman"/>
          <w:lang w:val="es-ES"/>
        </w:rPr>
        <w:t>el abandono universitario</w:t>
      </w:r>
      <w:r w:rsidRPr="00C903A8">
        <w:rPr>
          <w:rFonts w:ascii="Times New Roman" w:hAnsi="Times New Roman" w:cs="Times New Roman"/>
          <w:lang w:val="es-ES"/>
        </w:rPr>
        <w:t xml:space="preserve"> y sin valores nulos, lo que resultó en una matriz de datos con un total de 896 registros. La Tabla 2 muestra una descripción de las variables seleccionadas.</w:t>
      </w:r>
    </w:p>
    <w:p w14:paraId="70CDF09E" w14:textId="77777777" w:rsidR="00F778AA" w:rsidRPr="00C903A8" w:rsidRDefault="00F778AA" w:rsidP="00C903A8">
      <w:pPr>
        <w:ind w:firstLine="720"/>
        <w:jc w:val="both"/>
        <w:rPr>
          <w:rFonts w:ascii="Times New Roman" w:hAnsi="Times New Roman" w:cs="Times New Roman"/>
          <w:lang w:val="es-ES"/>
        </w:rPr>
      </w:pPr>
    </w:p>
    <w:p w14:paraId="464463B5" w14:textId="1D8F49CC" w:rsidR="00AD5778" w:rsidRPr="00C903A8" w:rsidRDefault="00AD5778" w:rsidP="00C903A8">
      <w:pPr>
        <w:jc w:val="center"/>
        <w:rPr>
          <w:rFonts w:ascii="Times New Roman" w:hAnsi="Times New Roman" w:cs="Times New Roman"/>
          <w:lang w:val="es-ES"/>
        </w:rPr>
      </w:pPr>
      <w:r w:rsidRPr="00C903A8">
        <w:rPr>
          <w:rFonts w:ascii="Times New Roman" w:hAnsi="Times New Roman" w:cs="Times New Roman"/>
          <w:b/>
          <w:bCs/>
          <w:lang w:val="es-ES"/>
        </w:rPr>
        <w:t>Tabla 2.</w:t>
      </w:r>
      <w:r w:rsidRPr="00C903A8">
        <w:rPr>
          <w:rFonts w:ascii="Times New Roman" w:hAnsi="Times New Roman" w:cs="Times New Roman"/>
          <w:lang w:val="es-ES"/>
        </w:rPr>
        <w:t xml:space="preserve"> Variables seleccionadas.</w:t>
      </w:r>
    </w:p>
    <w:tbl>
      <w:tblPr>
        <w:tblStyle w:val="Tablaconcuadrcula"/>
        <w:tblW w:w="9610" w:type="dxa"/>
        <w:tblInd w:w="421" w:type="dxa"/>
        <w:tblLayout w:type="fixed"/>
        <w:tblLook w:val="04A0" w:firstRow="1" w:lastRow="0" w:firstColumn="1" w:lastColumn="0" w:noHBand="0" w:noVBand="1"/>
      </w:tblPr>
      <w:tblGrid>
        <w:gridCol w:w="708"/>
        <w:gridCol w:w="2127"/>
        <w:gridCol w:w="6775"/>
      </w:tblGrid>
      <w:tr w:rsidR="00AD5778" w:rsidRPr="00C903A8" w14:paraId="03EB56DD" w14:textId="77777777" w:rsidTr="00041B5E">
        <w:tc>
          <w:tcPr>
            <w:tcW w:w="708" w:type="dxa"/>
            <w:vAlign w:val="center"/>
          </w:tcPr>
          <w:p w14:paraId="2EEC0473" w14:textId="20F2DAEE" w:rsidR="00AD5778" w:rsidRPr="00C903A8" w:rsidRDefault="00134C07" w:rsidP="00C903A8">
            <w:pPr>
              <w:rPr>
                <w:rFonts w:ascii="Times New Roman" w:hAnsi="Times New Roman" w:cs="Times New Roman"/>
                <w:lang w:val="es-ES_tradnl"/>
              </w:rPr>
            </w:pPr>
            <w:r w:rsidRPr="00C903A8">
              <w:rPr>
                <w:rFonts w:ascii="Times New Roman" w:hAnsi="Times New Roman" w:cs="Times New Roman"/>
                <w:lang w:val="es-ES_tradnl"/>
              </w:rPr>
              <w:t>No.</w:t>
            </w:r>
          </w:p>
        </w:tc>
        <w:tc>
          <w:tcPr>
            <w:tcW w:w="2127" w:type="dxa"/>
            <w:vAlign w:val="center"/>
          </w:tcPr>
          <w:p w14:paraId="2F737BFB" w14:textId="744AFFB9" w:rsidR="00AD5778" w:rsidRPr="00C903A8" w:rsidRDefault="00657B1E" w:rsidP="00C903A8">
            <w:pPr>
              <w:rPr>
                <w:rFonts w:ascii="Times New Roman" w:hAnsi="Times New Roman" w:cs="Times New Roman"/>
                <w:lang w:val="es-ES_tradnl"/>
              </w:rPr>
            </w:pPr>
            <w:r w:rsidRPr="00C903A8">
              <w:rPr>
                <w:rFonts w:ascii="Times New Roman" w:hAnsi="Times New Roman" w:cs="Times New Roman"/>
                <w:lang w:val="es-ES_tradnl"/>
              </w:rPr>
              <w:t>Variable</w:t>
            </w:r>
          </w:p>
        </w:tc>
        <w:tc>
          <w:tcPr>
            <w:tcW w:w="6775" w:type="dxa"/>
            <w:vAlign w:val="center"/>
          </w:tcPr>
          <w:p w14:paraId="7C681B9B" w14:textId="06C0102B" w:rsidR="00AD5778" w:rsidRPr="00C903A8" w:rsidRDefault="00657B1E" w:rsidP="00C903A8">
            <w:pPr>
              <w:rPr>
                <w:rFonts w:ascii="Times New Roman" w:hAnsi="Times New Roman" w:cs="Times New Roman"/>
                <w:lang w:val="es-ES_tradnl"/>
              </w:rPr>
            </w:pPr>
            <w:r w:rsidRPr="00C903A8">
              <w:rPr>
                <w:rFonts w:ascii="Times New Roman" w:hAnsi="Times New Roman" w:cs="Times New Roman"/>
                <w:lang w:val="es-ES_tradnl"/>
              </w:rPr>
              <w:t>Descripción</w:t>
            </w:r>
          </w:p>
        </w:tc>
      </w:tr>
      <w:tr w:rsidR="00AD5778" w:rsidRPr="00041B5E" w14:paraId="2060EE63" w14:textId="77777777" w:rsidTr="00041B5E">
        <w:tc>
          <w:tcPr>
            <w:tcW w:w="708" w:type="dxa"/>
            <w:vAlign w:val="center"/>
          </w:tcPr>
          <w:p w14:paraId="766FFD67" w14:textId="77777777" w:rsidR="00AD5778" w:rsidRPr="00C903A8" w:rsidRDefault="00AD5778" w:rsidP="00C903A8">
            <w:pPr>
              <w:jc w:val="center"/>
              <w:rPr>
                <w:rFonts w:ascii="Times New Roman" w:hAnsi="Times New Roman" w:cs="Times New Roman"/>
                <w:lang w:val="es-ES_tradnl"/>
              </w:rPr>
            </w:pPr>
            <w:r w:rsidRPr="00C903A8">
              <w:rPr>
                <w:rFonts w:ascii="Times New Roman" w:hAnsi="Times New Roman" w:cs="Times New Roman"/>
                <w:lang w:val="es-ES_tradnl"/>
              </w:rPr>
              <w:lastRenderedPageBreak/>
              <w:t>1</w:t>
            </w:r>
          </w:p>
        </w:tc>
        <w:tc>
          <w:tcPr>
            <w:tcW w:w="2127" w:type="dxa"/>
            <w:vAlign w:val="center"/>
          </w:tcPr>
          <w:p w14:paraId="41593D32" w14:textId="1A09837A" w:rsidR="00AD5778" w:rsidRPr="00C903A8" w:rsidRDefault="007B04BB" w:rsidP="00C903A8">
            <w:pPr>
              <w:rPr>
                <w:rFonts w:ascii="Times New Roman" w:hAnsi="Times New Roman" w:cs="Times New Roman"/>
                <w:lang w:val="es-ES_tradnl"/>
              </w:rPr>
            </w:pPr>
            <w:r w:rsidRPr="00C903A8">
              <w:rPr>
                <w:rFonts w:ascii="Times New Roman" w:eastAsia="Times New Roman" w:hAnsi="Times New Roman" w:cs="Times New Roman"/>
                <w:lang w:val="es-ES_tradnl"/>
              </w:rPr>
              <w:t>Sexo</w:t>
            </w:r>
          </w:p>
        </w:tc>
        <w:tc>
          <w:tcPr>
            <w:tcW w:w="6775" w:type="dxa"/>
            <w:vAlign w:val="center"/>
          </w:tcPr>
          <w:p w14:paraId="178D8CD8" w14:textId="2178954D" w:rsidR="00AD5778" w:rsidRPr="00041B5E" w:rsidRDefault="00657B1E" w:rsidP="00C903A8">
            <w:pPr>
              <w:rPr>
                <w:rFonts w:ascii="Times New Roman" w:hAnsi="Times New Roman" w:cs="Times New Roman"/>
                <w:sz w:val="22"/>
                <w:szCs w:val="22"/>
                <w:lang w:val="es-ES_tradnl"/>
              </w:rPr>
            </w:pPr>
            <w:r w:rsidRPr="00041B5E">
              <w:rPr>
                <w:rFonts w:ascii="Times New Roman" w:hAnsi="Times New Roman" w:cs="Times New Roman"/>
                <w:sz w:val="22"/>
                <w:szCs w:val="22"/>
                <w:lang w:val="es-ES_tradnl"/>
              </w:rPr>
              <w:t xml:space="preserve">Representa el </w:t>
            </w:r>
            <w:r w:rsidR="00767657" w:rsidRPr="00041B5E">
              <w:rPr>
                <w:rFonts w:ascii="Times New Roman" w:hAnsi="Times New Roman" w:cs="Times New Roman"/>
                <w:sz w:val="22"/>
                <w:szCs w:val="22"/>
                <w:lang w:val="es-ES_tradnl"/>
              </w:rPr>
              <w:t>sexo del estudiante encuestado.</w:t>
            </w:r>
          </w:p>
        </w:tc>
      </w:tr>
      <w:tr w:rsidR="00767657" w:rsidRPr="00C903A8" w14:paraId="7087CB56" w14:textId="77777777" w:rsidTr="00041B5E">
        <w:tc>
          <w:tcPr>
            <w:tcW w:w="708" w:type="dxa"/>
            <w:vAlign w:val="center"/>
          </w:tcPr>
          <w:p w14:paraId="41A608A8" w14:textId="77777777"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2</w:t>
            </w:r>
          </w:p>
        </w:tc>
        <w:tc>
          <w:tcPr>
            <w:tcW w:w="2127" w:type="dxa"/>
            <w:vAlign w:val="center"/>
          </w:tcPr>
          <w:p w14:paraId="19A6F3D1" w14:textId="3AA049B7" w:rsidR="00767657" w:rsidRPr="00C903A8" w:rsidRDefault="007B04BB" w:rsidP="00C903A8">
            <w:pPr>
              <w:rPr>
                <w:rFonts w:ascii="Times New Roman" w:hAnsi="Times New Roman" w:cs="Times New Roman"/>
                <w:lang w:val="es-ES_tradnl"/>
              </w:rPr>
            </w:pPr>
            <w:r w:rsidRPr="00C903A8">
              <w:rPr>
                <w:rFonts w:ascii="Times New Roman" w:eastAsia="Times New Roman" w:hAnsi="Times New Roman" w:cs="Times New Roman"/>
                <w:lang w:val="es-ES_tradnl"/>
              </w:rPr>
              <w:t>Programa</w:t>
            </w:r>
          </w:p>
        </w:tc>
        <w:tc>
          <w:tcPr>
            <w:tcW w:w="6775" w:type="dxa"/>
            <w:vAlign w:val="center"/>
          </w:tcPr>
          <w:p w14:paraId="34E46A26" w14:textId="6439BC30" w:rsidR="00767657" w:rsidRPr="00C903A8" w:rsidRDefault="00767657" w:rsidP="00C903A8">
            <w:pPr>
              <w:rPr>
                <w:rFonts w:ascii="Times New Roman" w:hAnsi="Times New Roman" w:cs="Times New Roman"/>
                <w:lang w:val="es-ES_tradnl"/>
              </w:rPr>
            </w:pPr>
            <w:r w:rsidRPr="00C903A8">
              <w:rPr>
                <w:rFonts w:ascii="Times New Roman" w:hAnsi="Times New Roman" w:cs="Times New Roman"/>
                <w:lang w:val="es-ES_tradnl"/>
              </w:rPr>
              <w:t xml:space="preserve">Corresponde </w:t>
            </w:r>
            <w:r w:rsidR="00EF3A2E" w:rsidRPr="00C903A8">
              <w:rPr>
                <w:rFonts w:ascii="Times New Roman" w:hAnsi="Times New Roman" w:cs="Times New Roman"/>
                <w:lang w:val="es-ES_tradnl"/>
              </w:rPr>
              <w:t>el</w:t>
            </w:r>
            <w:r w:rsidRPr="00C903A8">
              <w:rPr>
                <w:rFonts w:ascii="Times New Roman" w:hAnsi="Times New Roman" w:cs="Times New Roman"/>
                <w:lang w:val="es-ES_tradnl"/>
              </w:rPr>
              <w:t xml:space="preserve"> programa educativo</w:t>
            </w:r>
            <w:r w:rsidR="00EF3A2E" w:rsidRPr="00C903A8">
              <w:rPr>
                <w:rFonts w:ascii="Times New Roman" w:hAnsi="Times New Roman" w:cs="Times New Roman"/>
                <w:lang w:val="es-ES_tradnl"/>
              </w:rPr>
              <w:t xml:space="preserve"> al que pertenece el estudiante encuestado.</w:t>
            </w:r>
          </w:p>
        </w:tc>
      </w:tr>
      <w:tr w:rsidR="00767657" w:rsidRPr="00C903A8" w14:paraId="4159B588" w14:textId="77777777" w:rsidTr="00041B5E">
        <w:tc>
          <w:tcPr>
            <w:tcW w:w="708" w:type="dxa"/>
            <w:vAlign w:val="center"/>
          </w:tcPr>
          <w:p w14:paraId="2490921D" w14:textId="77777777"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3</w:t>
            </w:r>
          </w:p>
        </w:tc>
        <w:tc>
          <w:tcPr>
            <w:tcW w:w="2127" w:type="dxa"/>
            <w:vAlign w:val="center"/>
          </w:tcPr>
          <w:p w14:paraId="59421D5A" w14:textId="2A1DA9FD" w:rsidR="00767657" w:rsidRPr="00C903A8" w:rsidRDefault="007B04BB" w:rsidP="00C903A8">
            <w:pPr>
              <w:rPr>
                <w:rFonts w:ascii="Times New Roman" w:hAnsi="Times New Roman" w:cs="Times New Roman"/>
                <w:lang w:val="es-ES_tradnl"/>
              </w:rPr>
            </w:pPr>
            <w:r w:rsidRPr="00C903A8">
              <w:rPr>
                <w:rFonts w:ascii="Times New Roman" w:eastAsia="Times New Roman" w:hAnsi="Times New Roman" w:cs="Times New Roman"/>
                <w:lang w:val="es-ES_tradnl"/>
              </w:rPr>
              <w:t>Semestre</w:t>
            </w:r>
          </w:p>
        </w:tc>
        <w:tc>
          <w:tcPr>
            <w:tcW w:w="6775" w:type="dxa"/>
            <w:vAlign w:val="center"/>
          </w:tcPr>
          <w:p w14:paraId="586CF616" w14:textId="58108600" w:rsidR="00767657" w:rsidRPr="00C903A8" w:rsidRDefault="00767657" w:rsidP="00C903A8">
            <w:pPr>
              <w:rPr>
                <w:rFonts w:ascii="Times New Roman" w:hAnsi="Times New Roman" w:cs="Times New Roman"/>
                <w:lang w:val="es-ES_tradnl"/>
              </w:rPr>
            </w:pPr>
            <w:r w:rsidRPr="00C903A8">
              <w:rPr>
                <w:rFonts w:ascii="Times New Roman" w:hAnsi="Times New Roman" w:cs="Times New Roman"/>
                <w:lang w:val="es-ES_tradnl"/>
              </w:rPr>
              <w:t>Corresponde al semestre que está cursando el estudiante encuestado.</w:t>
            </w:r>
          </w:p>
        </w:tc>
      </w:tr>
      <w:tr w:rsidR="00767657" w:rsidRPr="00C903A8" w14:paraId="2ACAFC5F" w14:textId="77777777" w:rsidTr="00041B5E">
        <w:tc>
          <w:tcPr>
            <w:tcW w:w="708" w:type="dxa"/>
            <w:vAlign w:val="center"/>
          </w:tcPr>
          <w:p w14:paraId="2995EE4F" w14:textId="77777777"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4</w:t>
            </w:r>
          </w:p>
        </w:tc>
        <w:tc>
          <w:tcPr>
            <w:tcW w:w="2127" w:type="dxa"/>
            <w:vAlign w:val="center"/>
          </w:tcPr>
          <w:p w14:paraId="77E4269C" w14:textId="4C1A2F2E" w:rsidR="00767657" w:rsidRPr="00C903A8" w:rsidRDefault="005C45EF" w:rsidP="00C903A8">
            <w:pPr>
              <w:rPr>
                <w:rFonts w:ascii="Times New Roman" w:hAnsi="Times New Roman" w:cs="Times New Roman"/>
                <w:lang w:val="es-ES_tradnl"/>
              </w:rPr>
            </w:pPr>
            <w:r w:rsidRPr="00C903A8">
              <w:rPr>
                <w:rFonts w:ascii="Times New Roman" w:eastAsia="Times New Roman" w:hAnsi="Times New Roman" w:cs="Times New Roman"/>
                <w:lang w:val="es-ES_tradnl"/>
              </w:rPr>
              <w:t>Re</w:t>
            </w:r>
            <w:r w:rsidR="004033E3" w:rsidRPr="00C903A8">
              <w:rPr>
                <w:rFonts w:ascii="Times New Roman" w:eastAsia="Times New Roman" w:hAnsi="Times New Roman" w:cs="Times New Roman"/>
                <w:lang w:val="es-ES_tradnl"/>
              </w:rPr>
              <w:t>pitente</w:t>
            </w:r>
          </w:p>
        </w:tc>
        <w:tc>
          <w:tcPr>
            <w:tcW w:w="6775" w:type="dxa"/>
            <w:vAlign w:val="center"/>
          </w:tcPr>
          <w:p w14:paraId="06AA2DAE" w14:textId="17931B62" w:rsidR="00767657"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Incluye información sobre si el estudiante repitió alguna experiencia educativa (materia).</w:t>
            </w:r>
          </w:p>
        </w:tc>
      </w:tr>
      <w:tr w:rsidR="00767657" w:rsidRPr="00C903A8" w14:paraId="5412991F" w14:textId="77777777" w:rsidTr="00041B5E">
        <w:tc>
          <w:tcPr>
            <w:tcW w:w="708" w:type="dxa"/>
            <w:vAlign w:val="center"/>
          </w:tcPr>
          <w:p w14:paraId="56AE8018" w14:textId="73B0C6E6"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5</w:t>
            </w:r>
          </w:p>
        </w:tc>
        <w:tc>
          <w:tcPr>
            <w:tcW w:w="2127" w:type="dxa"/>
            <w:vAlign w:val="center"/>
          </w:tcPr>
          <w:p w14:paraId="7F74F600" w14:textId="78CFB6BF" w:rsidR="00767657" w:rsidRPr="00C903A8" w:rsidRDefault="007B04BB" w:rsidP="00C903A8">
            <w:pPr>
              <w:pStyle w:val="p1"/>
              <w:rPr>
                <w:color w:val="auto"/>
                <w:sz w:val="24"/>
                <w:szCs w:val="24"/>
                <w:lang w:val="es-ES_tradnl"/>
              </w:rPr>
            </w:pPr>
            <w:r w:rsidRPr="00C903A8">
              <w:rPr>
                <w:color w:val="auto"/>
                <w:sz w:val="24"/>
                <w:szCs w:val="24"/>
                <w:lang w:val="es-ES_tradnl"/>
              </w:rPr>
              <w:t>Abandono</w:t>
            </w:r>
          </w:p>
        </w:tc>
        <w:tc>
          <w:tcPr>
            <w:tcW w:w="6775" w:type="dxa"/>
            <w:vAlign w:val="center"/>
          </w:tcPr>
          <w:p w14:paraId="450E63AC" w14:textId="0356AAB4" w:rsidR="00767657"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Recopila información sobre el abandono de una experiencia educativa (asignatura).</w:t>
            </w:r>
          </w:p>
        </w:tc>
      </w:tr>
      <w:tr w:rsidR="00767657" w:rsidRPr="00C903A8" w14:paraId="6867D442" w14:textId="77777777" w:rsidTr="00041B5E">
        <w:tc>
          <w:tcPr>
            <w:tcW w:w="708" w:type="dxa"/>
            <w:vAlign w:val="center"/>
          </w:tcPr>
          <w:p w14:paraId="39586F51" w14:textId="5FCB55DF"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6</w:t>
            </w:r>
          </w:p>
        </w:tc>
        <w:tc>
          <w:tcPr>
            <w:tcW w:w="2127" w:type="dxa"/>
            <w:vAlign w:val="center"/>
          </w:tcPr>
          <w:p w14:paraId="10B346AD" w14:textId="00E725AA" w:rsidR="00767657" w:rsidRPr="00C903A8" w:rsidRDefault="007B04BB" w:rsidP="00C903A8">
            <w:pPr>
              <w:pStyle w:val="p1"/>
              <w:rPr>
                <w:color w:val="auto"/>
                <w:sz w:val="24"/>
                <w:szCs w:val="24"/>
                <w:lang w:val="es-ES_tradnl"/>
              </w:rPr>
            </w:pPr>
            <w:r w:rsidRPr="00C903A8">
              <w:rPr>
                <w:color w:val="auto"/>
                <w:sz w:val="24"/>
                <w:szCs w:val="24"/>
                <w:lang w:val="es-ES_tradnl"/>
              </w:rPr>
              <w:t>Satisfacción</w:t>
            </w:r>
          </w:p>
        </w:tc>
        <w:tc>
          <w:tcPr>
            <w:tcW w:w="6775" w:type="dxa"/>
            <w:vAlign w:val="center"/>
          </w:tcPr>
          <w:p w14:paraId="48AB22EE" w14:textId="6E992992" w:rsidR="00767657"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Es el grado de satisfacción que el estudiante tiene con respecto a su programa educativo.</w:t>
            </w:r>
          </w:p>
        </w:tc>
      </w:tr>
      <w:tr w:rsidR="00767657" w:rsidRPr="00C903A8" w14:paraId="2FFB8066" w14:textId="77777777" w:rsidTr="00041B5E">
        <w:tc>
          <w:tcPr>
            <w:tcW w:w="708" w:type="dxa"/>
            <w:vAlign w:val="center"/>
          </w:tcPr>
          <w:p w14:paraId="5783EAFC" w14:textId="16AA30A5"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7</w:t>
            </w:r>
          </w:p>
        </w:tc>
        <w:tc>
          <w:tcPr>
            <w:tcW w:w="2127" w:type="dxa"/>
            <w:vAlign w:val="center"/>
          </w:tcPr>
          <w:p w14:paraId="7ADAB2B7" w14:textId="66930B79" w:rsidR="00767657" w:rsidRPr="00C903A8" w:rsidRDefault="007B04BB" w:rsidP="00C903A8">
            <w:pPr>
              <w:pStyle w:val="p1"/>
              <w:rPr>
                <w:color w:val="auto"/>
                <w:sz w:val="24"/>
                <w:szCs w:val="24"/>
                <w:lang w:val="es-ES_tradnl"/>
              </w:rPr>
            </w:pPr>
            <w:r w:rsidRPr="00C903A8">
              <w:rPr>
                <w:rFonts w:eastAsiaTheme="minorHAnsi"/>
                <w:color w:val="auto"/>
                <w:kern w:val="2"/>
                <w:sz w:val="24"/>
                <w:szCs w:val="24"/>
                <w:lang w:val="es-ES" w:eastAsia="en-US"/>
                <w14:ligatures w14:val="standardContextual"/>
              </w:rPr>
              <w:t>Salud</w:t>
            </w:r>
            <w:r w:rsidR="00F40CC8" w:rsidRPr="00C903A8">
              <w:rPr>
                <w:color w:val="auto"/>
                <w:sz w:val="24"/>
                <w:szCs w:val="24"/>
                <w:lang w:val="es-ES_tradnl"/>
              </w:rPr>
              <w:t xml:space="preserve"> </w:t>
            </w:r>
            <w:r w:rsidRPr="00C903A8">
              <w:rPr>
                <w:rFonts w:eastAsiaTheme="minorHAnsi"/>
                <w:color w:val="auto"/>
                <w:kern w:val="2"/>
                <w:sz w:val="24"/>
                <w:szCs w:val="24"/>
                <w:lang w:val="es-ES" w:eastAsia="en-US"/>
                <w14:ligatures w14:val="standardContextual"/>
              </w:rPr>
              <w:t>Física</w:t>
            </w:r>
          </w:p>
        </w:tc>
        <w:tc>
          <w:tcPr>
            <w:tcW w:w="6775" w:type="dxa"/>
            <w:vAlign w:val="center"/>
          </w:tcPr>
          <w:p w14:paraId="33070946" w14:textId="13E0758C" w:rsidR="00767657"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Corresponde al abandono escolar debido a problemas de salud del estudiante.</w:t>
            </w:r>
          </w:p>
        </w:tc>
      </w:tr>
      <w:tr w:rsidR="00767657" w:rsidRPr="00C903A8" w14:paraId="0B8602AD" w14:textId="77777777" w:rsidTr="00041B5E">
        <w:tc>
          <w:tcPr>
            <w:tcW w:w="708" w:type="dxa"/>
            <w:vAlign w:val="center"/>
          </w:tcPr>
          <w:p w14:paraId="0A05B0C4" w14:textId="1A18DB3F" w:rsidR="00767657" w:rsidRPr="00C903A8" w:rsidRDefault="00767657" w:rsidP="00C903A8">
            <w:pPr>
              <w:jc w:val="center"/>
              <w:rPr>
                <w:rFonts w:ascii="Times New Roman" w:hAnsi="Times New Roman" w:cs="Times New Roman"/>
                <w:lang w:val="es-ES_tradnl"/>
              </w:rPr>
            </w:pPr>
            <w:r w:rsidRPr="00C903A8">
              <w:rPr>
                <w:rFonts w:ascii="Times New Roman" w:hAnsi="Times New Roman" w:cs="Times New Roman"/>
                <w:lang w:val="es-ES_tradnl"/>
              </w:rPr>
              <w:t>8</w:t>
            </w:r>
          </w:p>
        </w:tc>
        <w:tc>
          <w:tcPr>
            <w:tcW w:w="2127" w:type="dxa"/>
            <w:vAlign w:val="center"/>
          </w:tcPr>
          <w:p w14:paraId="175B13B1" w14:textId="5D6F0833" w:rsidR="00767657" w:rsidRPr="00C903A8" w:rsidRDefault="007B04BB" w:rsidP="00C903A8">
            <w:pPr>
              <w:pStyle w:val="p1"/>
              <w:rPr>
                <w:color w:val="auto"/>
                <w:sz w:val="24"/>
                <w:szCs w:val="24"/>
                <w:lang w:val="es-ES_tradnl"/>
              </w:rPr>
            </w:pPr>
            <w:r w:rsidRPr="00C903A8">
              <w:rPr>
                <w:rFonts w:eastAsiaTheme="minorHAnsi"/>
                <w:color w:val="auto"/>
                <w:kern w:val="2"/>
                <w:sz w:val="24"/>
                <w:szCs w:val="24"/>
                <w:lang w:val="es-ES" w:eastAsia="en-US"/>
                <w14:ligatures w14:val="standardContextual"/>
              </w:rPr>
              <w:t>Salud</w:t>
            </w:r>
            <w:r w:rsidR="00F40CC8" w:rsidRPr="00C903A8">
              <w:rPr>
                <w:rFonts w:eastAsiaTheme="minorHAnsi"/>
                <w:color w:val="auto"/>
                <w:kern w:val="2"/>
                <w:sz w:val="24"/>
                <w:szCs w:val="24"/>
                <w:lang w:val="es-ES" w:eastAsia="en-US"/>
                <w14:ligatures w14:val="standardContextual"/>
              </w:rPr>
              <w:t xml:space="preserve"> </w:t>
            </w:r>
            <w:r w:rsidRPr="00C903A8">
              <w:rPr>
                <w:rFonts w:eastAsiaTheme="minorHAnsi"/>
                <w:color w:val="auto"/>
                <w:kern w:val="2"/>
                <w:sz w:val="24"/>
                <w:szCs w:val="24"/>
                <w:lang w:val="es-ES" w:eastAsia="en-US"/>
                <w14:ligatures w14:val="standardContextual"/>
              </w:rPr>
              <w:t>Mental</w:t>
            </w:r>
          </w:p>
        </w:tc>
        <w:tc>
          <w:tcPr>
            <w:tcW w:w="6775" w:type="dxa"/>
            <w:vAlign w:val="center"/>
          </w:tcPr>
          <w:p w14:paraId="1C0F2187" w14:textId="44359A1F" w:rsidR="00767657"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Se refiere al abandono escolar debido a problemas psicológicos del estudiante.</w:t>
            </w:r>
          </w:p>
        </w:tc>
      </w:tr>
      <w:tr w:rsidR="005117F8" w:rsidRPr="00C903A8" w14:paraId="0ED504DE" w14:textId="77777777" w:rsidTr="00041B5E">
        <w:tc>
          <w:tcPr>
            <w:tcW w:w="708" w:type="dxa"/>
            <w:vAlign w:val="center"/>
          </w:tcPr>
          <w:p w14:paraId="5EB83B73" w14:textId="4BCF83EB"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9</w:t>
            </w:r>
          </w:p>
        </w:tc>
        <w:tc>
          <w:tcPr>
            <w:tcW w:w="2127" w:type="dxa"/>
            <w:vAlign w:val="center"/>
          </w:tcPr>
          <w:p w14:paraId="5CCDA2D0" w14:textId="00EC4E3B"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Dificulta</w:t>
            </w:r>
            <w:r w:rsidR="00F40CC8" w:rsidRPr="00C903A8">
              <w:rPr>
                <w:rFonts w:ascii="Times New Roman" w:hAnsi="Times New Roman" w:cs="Times New Roman"/>
                <w:lang w:val="es-ES_tradnl"/>
              </w:rPr>
              <w:t>d</w:t>
            </w:r>
          </w:p>
        </w:tc>
        <w:tc>
          <w:tcPr>
            <w:tcW w:w="6775" w:type="dxa"/>
            <w:vAlign w:val="center"/>
          </w:tcPr>
          <w:p w14:paraId="57EBDEF3" w14:textId="0FA0E523" w:rsidR="005117F8"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Dificultad que tienen los estudiantes para cubrir los gastos universitarios.</w:t>
            </w:r>
          </w:p>
        </w:tc>
      </w:tr>
      <w:tr w:rsidR="005117F8" w:rsidRPr="00C903A8" w14:paraId="4F82C96A" w14:textId="77777777" w:rsidTr="00041B5E">
        <w:tc>
          <w:tcPr>
            <w:tcW w:w="708" w:type="dxa"/>
            <w:vAlign w:val="center"/>
          </w:tcPr>
          <w:p w14:paraId="4765D9EC" w14:textId="05953BD2"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10</w:t>
            </w:r>
          </w:p>
        </w:tc>
        <w:tc>
          <w:tcPr>
            <w:tcW w:w="2127" w:type="dxa"/>
            <w:vAlign w:val="center"/>
          </w:tcPr>
          <w:p w14:paraId="29660861" w14:textId="538A053E" w:rsidR="005117F8" w:rsidRPr="00C903A8" w:rsidRDefault="007B04BB" w:rsidP="00C903A8">
            <w:pPr>
              <w:pStyle w:val="p1"/>
              <w:rPr>
                <w:color w:val="auto"/>
                <w:lang w:val="es-ES_tradnl"/>
              </w:rPr>
            </w:pPr>
            <w:r w:rsidRPr="00C903A8">
              <w:rPr>
                <w:rFonts w:eastAsiaTheme="minorHAnsi"/>
                <w:color w:val="auto"/>
                <w:kern w:val="2"/>
                <w:sz w:val="24"/>
                <w:szCs w:val="24"/>
                <w:lang w:val="es-ES" w:eastAsia="en-US"/>
                <w14:ligatures w14:val="standardContextual"/>
              </w:rPr>
              <w:t>Falta</w:t>
            </w:r>
            <w:r w:rsidR="00F40CC8" w:rsidRPr="00C903A8">
              <w:rPr>
                <w:rFonts w:eastAsiaTheme="minorHAnsi"/>
                <w:color w:val="auto"/>
                <w:kern w:val="2"/>
                <w:sz w:val="24"/>
                <w:szCs w:val="24"/>
                <w:lang w:val="es-ES" w:eastAsia="en-US"/>
                <w14:ligatures w14:val="standardContextual"/>
              </w:rPr>
              <w:t xml:space="preserve"> de </w:t>
            </w:r>
            <w:r w:rsidRPr="00C903A8">
              <w:rPr>
                <w:rFonts w:eastAsiaTheme="minorHAnsi"/>
                <w:color w:val="auto"/>
                <w:kern w:val="2"/>
                <w:sz w:val="24"/>
                <w:szCs w:val="24"/>
                <w:lang w:val="es-ES" w:eastAsia="en-US"/>
                <w14:ligatures w14:val="standardContextual"/>
              </w:rPr>
              <w:t>Equipos</w:t>
            </w:r>
          </w:p>
        </w:tc>
        <w:tc>
          <w:tcPr>
            <w:tcW w:w="6775" w:type="dxa"/>
            <w:vAlign w:val="center"/>
          </w:tcPr>
          <w:p w14:paraId="4A5C3C51" w14:textId="0348E7B8" w:rsidR="005117F8" w:rsidRPr="00C903A8" w:rsidRDefault="005117F8" w:rsidP="00C903A8">
            <w:pPr>
              <w:rPr>
                <w:rFonts w:ascii="Times New Roman" w:hAnsi="Times New Roman" w:cs="Times New Roman"/>
                <w:lang w:val="es-ES_tradnl"/>
              </w:rPr>
            </w:pPr>
            <w:r w:rsidRPr="00C903A8">
              <w:rPr>
                <w:rFonts w:ascii="Times New Roman" w:hAnsi="Times New Roman" w:cs="Times New Roman"/>
                <w:lang w:val="es-ES_tradnl"/>
              </w:rPr>
              <w:t>Corresponde a la falta de mobiliario y equipamiento universitario.</w:t>
            </w:r>
          </w:p>
        </w:tc>
      </w:tr>
      <w:tr w:rsidR="005117F8" w:rsidRPr="00C903A8" w14:paraId="57E605D4" w14:textId="77777777" w:rsidTr="00041B5E">
        <w:tc>
          <w:tcPr>
            <w:tcW w:w="708" w:type="dxa"/>
            <w:vAlign w:val="center"/>
          </w:tcPr>
          <w:p w14:paraId="60D6A9F3" w14:textId="4CBF0264" w:rsidR="005117F8" w:rsidRPr="00C903A8" w:rsidRDefault="007B04BB" w:rsidP="00C903A8">
            <w:pPr>
              <w:jc w:val="center"/>
              <w:rPr>
                <w:rFonts w:ascii="Times New Roman" w:hAnsi="Times New Roman" w:cs="Times New Roman"/>
                <w:lang w:val="es-ES_tradnl"/>
              </w:rPr>
            </w:pPr>
            <w:r w:rsidRPr="00C903A8">
              <w:rPr>
                <w:rFonts w:ascii="Times New Roman" w:hAnsi="Times New Roman" w:cs="Times New Roman"/>
                <w:lang w:val="es-ES_tradnl"/>
              </w:rPr>
              <w:t>11</w:t>
            </w:r>
          </w:p>
        </w:tc>
        <w:tc>
          <w:tcPr>
            <w:tcW w:w="2127" w:type="dxa"/>
            <w:vAlign w:val="center"/>
          </w:tcPr>
          <w:p w14:paraId="2642BEC6" w14:textId="0E1729BE"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Estatuto</w:t>
            </w:r>
          </w:p>
        </w:tc>
        <w:tc>
          <w:tcPr>
            <w:tcW w:w="6775" w:type="dxa"/>
            <w:vAlign w:val="center"/>
          </w:tcPr>
          <w:p w14:paraId="699D7031" w14:textId="6EFE8E7C"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 xml:space="preserve">Se refiere a la baja por incumplimiento de las cláusulas del estatuto </w:t>
            </w:r>
            <w:r w:rsidR="00EF3A2E" w:rsidRPr="00C903A8">
              <w:rPr>
                <w:rFonts w:ascii="Times New Roman" w:hAnsi="Times New Roman" w:cs="Times New Roman"/>
                <w:lang w:val="es-ES_tradnl"/>
              </w:rPr>
              <w:t>universitario</w:t>
            </w:r>
            <w:r w:rsidRPr="00C903A8">
              <w:rPr>
                <w:rFonts w:ascii="Times New Roman" w:hAnsi="Times New Roman" w:cs="Times New Roman"/>
                <w:lang w:val="es-ES_tradnl"/>
              </w:rPr>
              <w:t>.</w:t>
            </w:r>
          </w:p>
        </w:tc>
      </w:tr>
      <w:tr w:rsidR="005117F8" w:rsidRPr="00C903A8" w14:paraId="35008DB8" w14:textId="77777777" w:rsidTr="00041B5E">
        <w:tc>
          <w:tcPr>
            <w:tcW w:w="708" w:type="dxa"/>
            <w:vAlign w:val="center"/>
          </w:tcPr>
          <w:p w14:paraId="48C0D8D0" w14:textId="6C35E1F4"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7B04BB" w:rsidRPr="00C903A8">
              <w:rPr>
                <w:rFonts w:ascii="Times New Roman" w:hAnsi="Times New Roman" w:cs="Times New Roman"/>
                <w:lang w:val="es-ES_tradnl"/>
              </w:rPr>
              <w:t>2</w:t>
            </w:r>
          </w:p>
        </w:tc>
        <w:tc>
          <w:tcPr>
            <w:tcW w:w="2127" w:type="dxa"/>
            <w:vAlign w:val="center"/>
          </w:tcPr>
          <w:p w14:paraId="294A85A5" w14:textId="31ACB614" w:rsidR="005117F8" w:rsidRPr="00C903A8" w:rsidRDefault="00EF3A2E" w:rsidP="00C903A8">
            <w:pPr>
              <w:rPr>
                <w:rFonts w:ascii="Times New Roman" w:hAnsi="Times New Roman" w:cs="Times New Roman"/>
                <w:lang w:val="es-ES_tradnl"/>
              </w:rPr>
            </w:pPr>
            <w:r w:rsidRPr="00C903A8">
              <w:rPr>
                <w:rFonts w:ascii="Times New Roman" w:hAnsi="Times New Roman" w:cs="Times New Roman"/>
                <w:lang w:val="es-ES_tradnl"/>
              </w:rPr>
              <w:t>Ubicación</w:t>
            </w:r>
          </w:p>
        </w:tc>
        <w:tc>
          <w:tcPr>
            <w:tcW w:w="6775" w:type="dxa"/>
            <w:vAlign w:val="center"/>
          </w:tcPr>
          <w:p w14:paraId="2AF5DBDE" w14:textId="12B01895"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Corresponde al abandono escolar debido a problemas de ubicación geográfica.</w:t>
            </w:r>
          </w:p>
        </w:tc>
      </w:tr>
      <w:tr w:rsidR="005117F8" w:rsidRPr="00C903A8" w14:paraId="60B26BA2" w14:textId="77777777" w:rsidTr="00041B5E">
        <w:tc>
          <w:tcPr>
            <w:tcW w:w="708" w:type="dxa"/>
            <w:vAlign w:val="center"/>
          </w:tcPr>
          <w:p w14:paraId="576D682A" w14:textId="7410282E"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7B04BB" w:rsidRPr="00C903A8">
              <w:rPr>
                <w:rFonts w:ascii="Times New Roman" w:hAnsi="Times New Roman" w:cs="Times New Roman"/>
                <w:lang w:val="es-ES_tradnl"/>
              </w:rPr>
              <w:t>3</w:t>
            </w:r>
          </w:p>
        </w:tc>
        <w:tc>
          <w:tcPr>
            <w:tcW w:w="2127" w:type="dxa"/>
            <w:vAlign w:val="center"/>
          </w:tcPr>
          <w:p w14:paraId="1B41F74A" w14:textId="08082084" w:rsidR="005117F8" w:rsidRPr="00C903A8" w:rsidRDefault="007B04BB" w:rsidP="00C903A8">
            <w:pPr>
              <w:pStyle w:val="p1"/>
              <w:rPr>
                <w:color w:val="auto"/>
                <w:sz w:val="24"/>
                <w:szCs w:val="24"/>
              </w:rPr>
            </w:pPr>
            <w:r w:rsidRPr="00C903A8">
              <w:rPr>
                <w:color w:val="auto"/>
                <w:sz w:val="24"/>
                <w:szCs w:val="24"/>
              </w:rPr>
              <w:t>Problemas</w:t>
            </w:r>
            <w:r w:rsidR="00F40CC8" w:rsidRPr="00C903A8">
              <w:rPr>
                <w:color w:val="auto"/>
                <w:sz w:val="24"/>
                <w:szCs w:val="24"/>
              </w:rPr>
              <w:t xml:space="preserve"> </w:t>
            </w:r>
            <w:r w:rsidRPr="00C903A8">
              <w:rPr>
                <w:color w:val="auto"/>
                <w:sz w:val="24"/>
                <w:szCs w:val="24"/>
              </w:rPr>
              <w:t>Familiares</w:t>
            </w:r>
          </w:p>
        </w:tc>
        <w:tc>
          <w:tcPr>
            <w:tcW w:w="6775" w:type="dxa"/>
            <w:vAlign w:val="center"/>
          </w:tcPr>
          <w:p w14:paraId="4CB8982A" w14:textId="774B5C9C"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Se refiere al abandono escolar por problemas familiares o laborales.</w:t>
            </w:r>
          </w:p>
        </w:tc>
      </w:tr>
      <w:tr w:rsidR="005117F8" w:rsidRPr="00C903A8" w14:paraId="378C9CD6" w14:textId="77777777" w:rsidTr="00041B5E">
        <w:tc>
          <w:tcPr>
            <w:tcW w:w="708" w:type="dxa"/>
            <w:vAlign w:val="center"/>
          </w:tcPr>
          <w:p w14:paraId="62EA94D7" w14:textId="47826C7B"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7B04BB" w:rsidRPr="00C903A8">
              <w:rPr>
                <w:rFonts w:ascii="Times New Roman" w:hAnsi="Times New Roman" w:cs="Times New Roman"/>
                <w:lang w:val="es-ES_tradnl"/>
              </w:rPr>
              <w:t>4</w:t>
            </w:r>
          </w:p>
        </w:tc>
        <w:tc>
          <w:tcPr>
            <w:tcW w:w="2127" w:type="dxa"/>
            <w:vAlign w:val="center"/>
          </w:tcPr>
          <w:p w14:paraId="5C5CF4D0" w14:textId="4CBB377D"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Conflictos</w:t>
            </w:r>
          </w:p>
        </w:tc>
        <w:tc>
          <w:tcPr>
            <w:tcW w:w="6775" w:type="dxa"/>
            <w:vAlign w:val="center"/>
          </w:tcPr>
          <w:p w14:paraId="7528C14D" w14:textId="0138AC58"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Incluye información sobre el abandono escolar debido a conflictos entre compañeros o profesores.</w:t>
            </w:r>
          </w:p>
        </w:tc>
      </w:tr>
      <w:tr w:rsidR="005117F8" w:rsidRPr="00C903A8" w14:paraId="237EA011" w14:textId="77777777" w:rsidTr="00041B5E">
        <w:tc>
          <w:tcPr>
            <w:tcW w:w="708" w:type="dxa"/>
            <w:vAlign w:val="center"/>
          </w:tcPr>
          <w:p w14:paraId="36241CCB" w14:textId="6BAB1E81"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EF3A2E" w:rsidRPr="00C903A8">
              <w:rPr>
                <w:rFonts w:ascii="Times New Roman" w:hAnsi="Times New Roman" w:cs="Times New Roman"/>
                <w:lang w:val="es-ES_tradnl"/>
              </w:rPr>
              <w:t>5</w:t>
            </w:r>
          </w:p>
        </w:tc>
        <w:tc>
          <w:tcPr>
            <w:tcW w:w="2127" w:type="dxa"/>
            <w:vAlign w:val="center"/>
          </w:tcPr>
          <w:p w14:paraId="22716BD1" w14:textId="22674DA0"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Matrícula</w:t>
            </w:r>
          </w:p>
        </w:tc>
        <w:tc>
          <w:tcPr>
            <w:tcW w:w="6775" w:type="dxa"/>
            <w:vAlign w:val="center"/>
          </w:tcPr>
          <w:p w14:paraId="7442031F" w14:textId="4BBB8B3A" w:rsidR="005117F8" w:rsidRPr="00C903A8" w:rsidRDefault="007B04BB" w:rsidP="00C903A8">
            <w:pPr>
              <w:rPr>
                <w:rFonts w:ascii="Times New Roman" w:hAnsi="Times New Roman" w:cs="Times New Roman"/>
                <w:lang w:val="es-ES_tradnl"/>
              </w:rPr>
            </w:pPr>
            <w:r w:rsidRPr="00C903A8">
              <w:rPr>
                <w:rFonts w:ascii="Times New Roman" w:hAnsi="Times New Roman" w:cs="Times New Roman"/>
                <w:lang w:val="es-ES_tradnl"/>
              </w:rPr>
              <w:t>Corresponde al abandono escolar debido al costo de la matrícula.</w:t>
            </w:r>
          </w:p>
        </w:tc>
      </w:tr>
      <w:tr w:rsidR="005117F8" w:rsidRPr="00C903A8" w14:paraId="7CF0A89E" w14:textId="77777777" w:rsidTr="00041B5E">
        <w:tc>
          <w:tcPr>
            <w:tcW w:w="708" w:type="dxa"/>
            <w:vAlign w:val="center"/>
          </w:tcPr>
          <w:p w14:paraId="24FCDB72" w14:textId="7F5AB60B"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EF3A2E" w:rsidRPr="00C903A8">
              <w:rPr>
                <w:rFonts w:ascii="Times New Roman" w:hAnsi="Times New Roman" w:cs="Times New Roman"/>
                <w:lang w:val="es-ES_tradnl"/>
              </w:rPr>
              <w:t>6</w:t>
            </w:r>
          </w:p>
        </w:tc>
        <w:tc>
          <w:tcPr>
            <w:tcW w:w="2127" w:type="dxa"/>
            <w:vAlign w:val="center"/>
          </w:tcPr>
          <w:p w14:paraId="137B721E" w14:textId="081D6C0D" w:rsidR="005117F8" w:rsidRPr="00C903A8" w:rsidRDefault="00EF3A2E" w:rsidP="00C903A8">
            <w:pPr>
              <w:rPr>
                <w:rFonts w:ascii="Times New Roman" w:hAnsi="Times New Roman" w:cs="Times New Roman"/>
                <w:lang w:val="es-ES_tradnl"/>
              </w:rPr>
            </w:pPr>
            <w:r w:rsidRPr="00C903A8">
              <w:rPr>
                <w:rFonts w:ascii="Times New Roman" w:hAnsi="Times New Roman" w:cs="Times New Roman"/>
                <w:lang w:val="es-ES_tradnl"/>
              </w:rPr>
              <w:t>Expectativa</w:t>
            </w:r>
          </w:p>
        </w:tc>
        <w:tc>
          <w:tcPr>
            <w:tcW w:w="6775" w:type="dxa"/>
            <w:vAlign w:val="center"/>
          </w:tcPr>
          <w:p w14:paraId="01D5AA3D" w14:textId="283F13A4" w:rsidR="005117F8" w:rsidRPr="00C903A8" w:rsidRDefault="00EF3A2E" w:rsidP="00C903A8">
            <w:pPr>
              <w:rPr>
                <w:rFonts w:ascii="Times New Roman" w:hAnsi="Times New Roman" w:cs="Times New Roman"/>
                <w:lang w:val="es-ES_tradnl"/>
              </w:rPr>
            </w:pPr>
            <w:r w:rsidRPr="00C903A8">
              <w:rPr>
                <w:rFonts w:ascii="Times New Roman" w:hAnsi="Times New Roman" w:cs="Times New Roman"/>
                <w:lang w:val="es-ES_tradnl"/>
              </w:rPr>
              <w:t>Es el abandono de estudios debido a las expectativas del estudiante con respecto a la carrera elegida.</w:t>
            </w:r>
          </w:p>
        </w:tc>
      </w:tr>
      <w:tr w:rsidR="005117F8" w:rsidRPr="00C903A8" w14:paraId="04DDAC96" w14:textId="77777777" w:rsidTr="00041B5E">
        <w:tc>
          <w:tcPr>
            <w:tcW w:w="708" w:type="dxa"/>
            <w:vAlign w:val="center"/>
          </w:tcPr>
          <w:p w14:paraId="16D1F9E6" w14:textId="5E877457" w:rsidR="005117F8" w:rsidRPr="00C903A8" w:rsidRDefault="005117F8" w:rsidP="00C903A8">
            <w:pPr>
              <w:jc w:val="center"/>
              <w:rPr>
                <w:rFonts w:ascii="Times New Roman" w:hAnsi="Times New Roman" w:cs="Times New Roman"/>
                <w:lang w:val="es-ES_tradnl"/>
              </w:rPr>
            </w:pPr>
            <w:r w:rsidRPr="00C903A8">
              <w:rPr>
                <w:rFonts w:ascii="Times New Roman" w:hAnsi="Times New Roman" w:cs="Times New Roman"/>
                <w:lang w:val="es-ES_tradnl"/>
              </w:rPr>
              <w:t>1</w:t>
            </w:r>
            <w:r w:rsidR="00EF3A2E" w:rsidRPr="00C903A8">
              <w:rPr>
                <w:rFonts w:ascii="Times New Roman" w:hAnsi="Times New Roman" w:cs="Times New Roman"/>
                <w:lang w:val="es-ES_tradnl"/>
              </w:rPr>
              <w:t>7</w:t>
            </w:r>
          </w:p>
        </w:tc>
        <w:tc>
          <w:tcPr>
            <w:tcW w:w="2127" w:type="dxa"/>
            <w:vAlign w:val="center"/>
          </w:tcPr>
          <w:p w14:paraId="106CA8A7" w14:textId="772266DB" w:rsidR="005117F8" w:rsidRPr="00C903A8" w:rsidRDefault="00EF3A2E" w:rsidP="00C903A8">
            <w:pPr>
              <w:rPr>
                <w:rFonts w:ascii="Times New Roman" w:hAnsi="Times New Roman" w:cs="Times New Roman"/>
                <w:lang w:val="es-ES_tradnl"/>
              </w:rPr>
            </w:pPr>
            <w:r w:rsidRPr="00C903A8">
              <w:rPr>
                <w:rFonts w:ascii="Times New Roman" w:hAnsi="Times New Roman" w:cs="Times New Roman"/>
                <w:lang w:val="es-ES_tradnl"/>
              </w:rPr>
              <w:t>Situación</w:t>
            </w:r>
          </w:p>
        </w:tc>
        <w:tc>
          <w:tcPr>
            <w:tcW w:w="6775" w:type="dxa"/>
            <w:vAlign w:val="center"/>
          </w:tcPr>
          <w:p w14:paraId="338EB5B5" w14:textId="05EA93BA" w:rsidR="005117F8" w:rsidRPr="00C903A8" w:rsidRDefault="00EF3A2E" w:rsidP="00C903A8">
            <w:pPr>
              <w:rPr>
                <w:rFonts w:ascii="Times New Roman" w:hAnsi="Times New Roman" w:cs="Times New Roman"/>
                <w:lang w:val="es-ES_tradnl"/>
              </w:rPr>
            </w:pPr>
            <w:r w:rsidRPr="00C903A8">
              <w:rPr>
                <w:rFonts w:ascii="Times New Roman" w:hAnsi="Times New Roman" w:cs="Times New Roman"/>
                <w:lang w:val="es-ES_tradnl"/>
              </w:rPr>
              <w:t>Es la variable de clase que se utiliza para registrar datos sobre la situación económica del estudiante.</w:t>
            </w:r>
          </w:p>
        </w:tc>
      </w:tr>
    </w:tbl>
    <w:p w14:paraId="3817AC26" w14:textId="77777777" w:rsidR="00041B5E" w:rsidRPr="00C903A8" w:rsidRDefault="00041B5E" w:rsidP="00041B5E">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Pr="00C903A8">
        <w:rPr>
          <w:sz w:val="24"/>
          <w:szCs w:val="24"/>
          <w:lang w:val="es-ES"/>
        </w:rPr>
        <w:t xml:space="preserve"> Elaboración propia.</w:t>
      </w:r>
    </w:p>
    <w:p w14:paraId="7F33F715" w14:textId="77777777" w:rsidR="00041B5E" w:rsidRDefault="00041B5E" w:rsidP="00041B5E">
      <w:pPr>
        <w:jc w:val="both"/>
        <w:rPr>
          <w:rFonts w:ascii="Times New Roman" w:hAnsi="Times New Roman" w:cs="Times New Roman"/>
          <w:lang w:val="es-ES"/>
        </w:rPr>
      </w:pPr>
    </w:p>
    <w:p w14:paraId="464C786A" w14:textId="7594C367" w:rsidR="00505B63" w:rsidRPr="00C903A8" w:rsidRDefault="00505B63" w:rsidP="00C903A8">
      <w:pPr>
        <w:jc w:val="both"/>
        <w:rPr>
          <w:rFonts w:ascii="Times New Roman" w:hAnsi="Times New Roman" w:cs="Times New Roman"/>
          <w:lang w:val="es-ES"/>
        </w:rPr>
      </w:pPr>
    </w:p>
    <w:p w14:paraId="4EE42081" w14:textId="3671E19F" w:rsidR="00767657" w:rsidRDefault="005C45EF" w:rsidP="00041B5E">
      <w:pPr>
        <w:jc w:val="both"/>
        <w:rPr>
          <w:rFonts w:ascii="Times New Roman" w:hAnsi="Times New Roman" w:cs="Times New Roman"/>
          <w:lang w:val="es-ES"/>
        </w:rPr>
      </w:pPr>
      <w:r w:rsidRPr="00C903A8">
        <w:rPr>
          <w:rFonts w:ascii="Times New Roman" w:hAnsi="Times New Roman" w:cs="Times New Roman"/>
          <w:lang w:val="es-ES"/>
        </w:rPr>
        <w:t xml:space="preserve">Todas las variables seleccionadas contienen información relevante sobre </w:t>
      </w:r>
      <w:r w:rsidR="00F40CC8" w:rsidRPr="00C903A8">
        <w:rPr>
          <w:rFonts w:ascii="Times New Roman" w:hAnsi="Times New Roman" w:cs="Times New Roman"/>
          <w:lang w:val="es-ES"/>
        </w:rPr>
        <w:t>el abandono universitario</w:t>
      </w:r>
      <w:r w:rsidRPr="00C903A8">
        <w:rPr>
          <w:rFonts w:ascii="Times New Roman" w:hAnsi="Times New Roman" w:cs="Times New Roman"/>
          <w:lang w:val="es-ES"/>
        </w:rPr>
        <w:t xml:space="preserve">. Es importante destacar que la honestidad de las respuestas de los participantes resultó valiosa, fiable y suficientemente sustancial como para permitir una interpretación de este tipo de problemas en el entorno educativo. Esto incluye las tasas de </w:t>
      </w:r>
      <w:r w:rsidR="00F40CC8" w:rsidRPr="00C903A8">
        <w:rPr>
          <w:rFonts w:ascii="Times New Roman" w:hAnsi="Times New Roman" w:cs="Times New Roman"/>
          <w:lang w:val="es-ES"/>
        </w:rPr>
        <w:t>abandono</w:t>
      </w:r>
      <w:r w:rsidRPr="00C903A8">
        <w:rPr>
          <w:rFonts w:ascii="Times New Roman" w:hAnsi="Times New Roman" w:cs="Times New Roman"/>
          <w:lang w:val="es-ES"/>
        </w:rPr>
        <w:t xml:space="preserve"> escolar causadas por diversos factores, entre los que destacan </w:t>
      </w:r>
      <w:r w:rsidR="00F40CC8" w:rsidRPr="00C903A8">
        <w:rPr>
          <w:rFonts w:ascii="Times New Roman" w:hAnsi="Times New Roman" w:cs="Times New Roman"/>
          <w:lang w:val="es-ES"/>
        </w:rPr>
        <w:t>las</w:t>
      </w:r>
      <w:r w:rsidRPr="00C903A8">
        <w:rPr>
          <w:rFonts w:ascii="Times New Roman" w:hAnsi="Times New Roman" w:cs="Times New Roman"/>
          <w:lang w:val="es-ES"/>
        </w:rPr>
        <w:t xml:space="preserve"> </w:t>
      </w:r>
      <w:r w:rsidR="00F40CC8" w:rsidRPr="00C903A8">
        <w:rPr>
          <w:rFonts w:ascii="Times New Roman" w:hAnsi="Times New Roman" w:cs="Times New Roman"/>
          <w:lang w:val="es-ES"/>
        </w:rPr>
        <w:t>condiciones</w:t>
      </w:r>
      <w:r w:rsidRPr="00C903A8">
        <w:rPr>
          <w:rFonts w:ascii="Times New Roman" w:hAnsi="Times New Roman" w:cs="Times New Roman"/>
          <w:lang w:val="es-ES"/>
        </w:rPr>
        <w:t xml:space="preserve"> económicas de los estudiantes.</w:t>
      </w:r>
    </w:p>
    <w:p w14:paraId="28942B56" w14:textId="77777777" w:rsidR="00041B5E" w:rsidRPr="00C903A8" w:rsidRDefault="00041B5E" w:rsidP="00041B5E">
      <w:pPr>
        <w:jc w:val="both"/>
        <w:rPr>
          <w:rFonts w:ascii="Times New Roman" w:hAnsi="Times New Roman" w:cs="Times New Roman"/>
          <w:lang w:val="es-ES"/>
        </w:rPr>
      </w:pPr>
    </w:p>
    <w:p w14:paraId="58A7B0D2" w14:textId="512D0110" w:rsidR="005C45EF" w:rsidRPr="00C903A8" w:rsidRDefault="005C45EF" w:rsidP="00C903A8">
      <w:pPr>
        <w:jc w:val="both"/>
        <w:rPr>
          <w:rFonts w:ascii="Times New Roman" w:hAnsi="Times New Roman" w:cs="Times New Roman"/>
          <w:lang w:val="es-ES"/>
        </w:rPr>
      </w:pPr>
    </w:p>
    <w:p w14:paraId="7B3009CD" w14:textId="770472BD" w:rsidR="00513FC9" w:rsidRDefault="00513FC9" w:rsidP="00041B5E">
      <w:pPr>
        <w:rPr>
          <w:rFonts w:ascii="Times New Roman" w:hAnsi="Times New Roman" w:cs="Times New Roman"/>
          <w:b/>
          <w:bCs/>
          <w:lang w:val="es-ES"/>
        </w:rPr>
      </w:pPr>
      <w:r w:rsidRPr="00041B5E">
        <w:rPr>
          <w:rFonts w:ascii="Times New Roman" w:hAnsi="Times New Roman" w:cs="Times New Roman"/>
          <w:b/>
          <w:bCs/>
          <w:lang w:val="es-ES"/>
        </w:rPr>
        <w:t>Clasificación</w:t>
      </w:r>
      <w:r w:rsidR="00BB1E92" w:rsidRPr="00041B5E">
        <w:rPr>
          <w:rFonts w:ascii="Times New Roman" w:hAnsi="Times New Roman" w:cs="Times New Roman"/>
          <w:b/>
          <w:bCs/>
          <w:lang w:val="es-ES"/>
        </w:rPr>
        <w:t xml:space="preserve"> y validación</w:t>
      </w:r>
    </w:p>
    <w:p w14:paraId="164DD430" w14:textId="77777777" w:rsidR="00041B5E" w:rsidRPr="00041B5E" w:rsidRDefault="00041B5E" w:rsidP="00041B5E">
      <w:pPr>
        <w:rPr>
          <w:rFonts w:ascii="Times New Roman" w:hAnsi="Times New Roman" w:cs="Times New Roman"/>
          <w:b/>
          <w:bCs/>
          <w:lang w:val="es-ES"/>
        </w:rPr>
      </w:pPr>
    </w:p>
    <w:p w14:paraId="613250C1" w14:textId="5122957C" w:rsidR="00513FC9" w:rsidRDefault="00513FC9" w:rsidP="00041B5E">
      <w:pPr>
        <w:jc w:val="both"/>
        <w:rPr>
          <w:rFonts w:ascii="Times New Roman" w:hAnsi="Times New Roman" w:cs="Times New Roman"/>
          <w:lang w:val="es-ES"/>
        </w:rPr>
      </w:pPr>
      <w:r w:rsidRPr="00C903A8">
        <w:rPr>
          <w:rFonts w:ascii="Times New Roman" w:hAnsi="Times New Roman" w:cs="Times New Roman"/>
          <w:lang w:val="es-ES"/>
        </w:rPr>
        <w:t xml:space="preserve">La clasificación se basó en la variable clase ‘Situación’, la cual es un factor clave que contribuye </w:t>
      </w:r>
      <w:r w:rsidR="00346FB7" w:rsidRPr="00C903A8">
        <w:rPr>
          <w:rFonts w:ascii="Times New Roman" w:hAnsi="Times New Roman" w:cs="Times New Roman"/>
          <w:lang w:val="es-ES"/>
        </w:rPr>
        <w:t>al abandono universitario</w:t>
      </w:r>
      <w:r w:rsidRPr="00C903A8">
        <w:rPr>
          <w:rFonts w:ascii="Times New Roman" w:hAnsi="Times New Roman" w:cs="Times New Roman"/>
          <w:lang w:val="es-ES"/>
        </w:rPr>
        <w:t xml:space="preserve">. La falta de recursos económicos, como la necesidad de trabajar o la dificultad para pagar la matrícula, puede obligar a los estudiantes a abandonar sus estudios universitarios. Los </w:t>
      </w:r>
      <w:r w:rsidRPr="00C903A8">
        <w:rPr>
          <w:rFonts w:ascii="Times New Roman" w:hAnsi="Times New Roman" w:cs="Times New Roman"/>
          <w:lang w:val="es-ES"/>
        </w:rPr>
        <w:lastRenderedPageBreak/>
        <w:t xml:space="preserve">estudiantes con bajos recursos económicos pueden ser más propensos a faltar a clases por razones económicas, lo que afecta su rendimiento y aumenta la probabilidad de abandono. Por lo tanto, una vez finalizada la preparación y selección de variables, se estableció, como matriz de entrada, una estructura compuesta por 16 variables independientes y una variable de clase (Situación), descrita </w:t>
      </w:r>
      <w:r w:rsidR="00346FB7" w:rsidRPr="00C903A8">
        <w:rPr>
          <w:rFonts w:ascii="Times New Roman" w:hAnsi="Times New Roman" w:cs="Times New Roman"/>
          <w:lang w:val="es-ES"/>
        </w:rPr>
        <w:t xml:space="preserve">previamente </w:t>
      </w:r>
      <w:r w:rsidRPr="00C903A8">
        <w:rPr>
          <w:rFonts w:ascii="Times New Roman" w:hAnsi="Times New Roman" w:cs="Times New Roman"/>
          <w:lang w:val="es-ES"/>
        </w:rPr>
        <w:t>en la Tabla 2. Posteriormente, para el proceso de clasificación y validación, la matriz de entrada se dividió en vectores de datos de entrenamiento y prueba, como se muestra en el segmento de código escrito en Python (Figura 3).</w:t>
      </w:r>
    </w:p>
    <w:p w14:paraId="2D896C28" w14:textId="77777777" w:rsidR="00041B5E" w:rsidRDefault="00041B5E" w:rsidP="00C903A8">
      <w:pPr>
        <w:ind w:firstLine="720"/>
        <w:jc w:val="both"/>
        <w:rPr>
          <w:rFonts w:ascii="Times New Roman" w:hAnsi="Times New Roman" w:cs="Times New Roman"/>
          <w:lang w:val="es-ES"/>
        </w:rPr>
      </w:pPr>
    </w:p>
    <w:p w14:paraId="6A7909E6" w14:textId="77777777" w:rsidR="00041B5E" w:rsidRPr="00C903A8" w:rsidRDefault="00041B5E" w:rsidP="00041B5E">
      <w:pPr>
        <w:keepLines/>
        <w:tabs>
          <w:tab w:val="left" w:pos="567"/>
        </w:tabs>
        <w:jc w:val="center"/>
        <w:rPr>
          <w:rFonts w:ascii="Times New Roman" w:hAnsi="Times New Roman" w:cs="Times New Roman"/>
          <w:b/>
          <w:lang w:val="es-ES"/>
        </w:rPr>
      </w:pPr>
      <w:r w:rsidRPr="00C903A8">
        <w:rPr>
          <w:rFonts w:ascii="Times New Roman" w:hAnsi="Times New Roman" w:cs="Times New Roman"/>
          <w:b/>
          <w:bCs/>
          <w:lang w:val="es-ES"/>
        </w:rPr>
        <w:t>Figura 3.</w:t>
      </w:r>
      <w:r w:rsidRPr="00C903A8">
        <w:rPr>
          <w:rFonts w:ascii="Times New Roman" w:hAnsi="Times New Roman" w:cs="Times New Roman"/>
          <w:lang w:val="es-ES"/>
        </w:rPr>
        <w:t xml:space="preserve"> Separación de los vectores de datos de entrenamiento y prueba.</w:t>
      </w:r>
    </w:p>
    <w:p w14:paraId="12EEB3EB" w14:textId="77777777" w:rsidR="00041B5E" w:rsidRPr="00C903A8" w:rsidRDefault="00041B5E" w:rsidP="00C903A8">
      <w:pPr>
        <w:ind w:firstLine="720"/>
        <w:jc w:val="both"/>
        <w:rPr>
          <w:rFonts w:ascii="Times New Roman" w:hAnsi="Times New Roman" w:cs="Times New Roman"/>
          <w:lang w:val="es-ES"/>
        </w:rPr>
      </w:pPr>
    </w:p>
    <w:p w14:paraId="58106336" w14:textId="07BAF5A6" w:rsidR="00513FC9" w:rsidRPr="00C903A8" w:rsidRDefault="00513FC9" w:rsidP="00C903A8">
      <w:pPr>
        <w:ind w:firstLine="720"/>
        <w:jc w:val="both"/>
        <w:rPr>
          <w:rFonts w:ascii="Times New Roman" w:hAnsi="Times New Roman" w:cs="Times New Roman"/>
          <w:lang w:val="es-ES"/>
        </w:rPr>
      </w:pPr>
    </w:p>
    <w:p w14:paraId="6DE73E7E" w14:textId="77777777" w:rsidR="00513FC9" w:rsidRPr="00C903A8" w:rsidRDefault="00513FC9" w:rsidP="00C903A8">
      <w:pPr>
        <w:tabs>
          <w:tab w:val="left" w:pos="567"/>
        </w:tabs>
        <w:jc w:val="center"/>
        <w:rPr>
          <w:rFonts w:ascii="FS Brabo" w:eastAsia="FS Brabo" w:hAnsi="FS Brabo" w:cs="FS Brabo"/>
        </w:rPr>
      </w:pPr>
      <w:r w:rsidRPr="00C903A8">
        <w:rPr>
          <w:rFonts w:ascii="FS Brabo" w:eastAsia="FS Brabo" w:hAnsi="FS Brabo" w:cs="FS Brabo"/>
          <w:noProof/>
        </w:rPr>
        <w:drawing>
          <wp:inline distT="114300" distB="114300" distL="114300" distR="114300" wp14:anchorId="73273A28" wp14:editId="41FF4C08">
            <wp:extent cx="5566537" cy="575697"/>
            <wp:effectExtent l="12700" t="12700" r="8890" b="8890"/>
            <wp:docPr id="141965637" name="Imagen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2061" cy="580405"/>
                    </a:xfrm>
                    <a:prstGeom prst="rect">
                      <a:avLst/>
                    </a:prstGeom>
                    <a:ln w="12700">
                      <a:solidFill>
                        <a:srgbClr val="6D9EEB"/>
                      </a:solidFill>
                      <a:prstDash val="solid"/>
                    </a:ln>
                  </pic:spPr>
                </pic:pic>
              </a:graphicData>
            </a:graphic>
          </wp:inline>
        </w:drawing>
      </w:r>
    </w:p>
    <w:p w14:paraId="079AD333" w14:textId="77777777" w:rsidR="00041B5E" w:rsidRPr="00C903A8" w:rsidRDefault="00041B5E" w:rsidP="00041B5E">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Pr="00C903A8">
        <w:rPr>
          <w:sz w:val="24"/>
          <w:szCs w:val="24"/>
          <w:lang w:val="es-ES"/>
        </w:rPr>
        <w:t xml:space="preserve"> Elaboración propia.</w:t>
      </w:r>
    </w:p>
    <w:p w14:paraId="59A4F4A9" w14:textId="77777777" w:rsidR="00041B5E" w:rsidRDefault="00041B5E" w:rsidP="00041B5E">
      <w:pPr>
        <w:jc w:val="both"/>
        <w:rPr>
          <w:rFonts w:ascii="Times New Roman" w:hAnsi="Times New Roman" w:cs="Times New Roman"/>
          <w:lang w:val="es-ES"/>
        </w:rPr>
      </w:pPr>
    </w:p>
    <w:p w14:paraId="6CFCD9B9" w14:textId="77777777" w:rsidR="00BE30E3" w:rsidRPr="00C903A8" w:rsidRDefault="00BE30E3" w:rsidP="00C903A8">
      <w:pPr>
        <w:jc w:val="both"/>
        <w:rPr>
          <w:rFonts w:ascii="Times New Roman" w:hAnsi="Times New Roman" w:cs="Times New Roman"/>
          <w:lang w:val="es-ES"/>
        </w:rPr>
      </w:pPr>
    </w:p>
    <w:p w14:paraId="103933C7" w14:textId="60851829" w:rsidR="00BB1E92" w:rsidRDefault="00BB1E92" w:rsidP="00041B5E">
      <w:pPr>
        <w:jc w:val="both"/>
        <w:rPr>
          <w:rFonts w:ascii="Times New Roman" w:hAnsi="Times New Roman" w:cs="Times New Roman"/>
          <w:lang w:val="es-ES"/>
        </w:rPr>
      </w:pPr>
      <w:r w:rsidRPr="00C903A8">
        <w:rPr>
          <w:rFonts w:ascii="Times New Roman" w:hAnsi="Times New Roman" w:cs="Times New Roman"/>
          <w:lang w:val="es-ES"/>
        </w:rPr>
        <w:t xml:space="preserve">Con base en la configuración establecida y los vectores de datos de entrenamiento y prueba definidos, se </w:t>
      </w:r>
      <w:r w:rsidR="00513FC9" w:rsidRPr="00C903A8">
        <w:rPr>
          <w:rFonts w:ascii="Times New Roman" w:hAnsi="Times New Roman" w:cs="Times New Roman"/>
          <w:lang w:val="es-ES"/>
        </w:rPr>
        <w:t>aplica</w:t>
      </w:r>
      <w:r w:rsidR="00346FB7" w:rsidRPr="00C903A8">
        <w:rPr>
          <w:rFonts w:ascii="Times New Roman" w:hAnsi="Times New Roman" w:cs="Times New Roman"/>
          <w:lang w:val="es-ES"/>
        </w:rPr>
        <w:t xml:space="preserve">ron </w:t>
      </w:r>
      <w:r w:rsidR="00513FC9" w:rsidRPr="00C903A8">
        <w:rPr>
          <w:rFonts w:ascii="Times New Roman" w:hAnsi="Times New Roman" w:cs="Times New Roman"/>
          <w:lang w:val="es-ES"/>
        </w:rPr>
        <w:t xml:space="preserve">los </w:t>
      </w:r>
      <w:r w:rsidR="00346FB7" w:rsidRPr="00C903A8">
        <w:rPr>
          <w:rFonts w:ascii="Times New Roman" w:hAnsi="Times New Roman" w:cs="Times New Roman"/>
          <w:lang w:val="es-ES"/>
        </w:rPr>
        <w:t xml:space="preserve">dos </w:t>
      </w:r>
      <w:r w:rsidR="00513FC9" w:rsidRPr="00C903A8">
        <w:rPr>
          <w:rFonts w:ascii="Times New Roman" w:hAnsi="Times New Roman" w:cs="Times New Roman"/>
          <w:lang w:val="es-ES"/>
        </w:rPr>
        <w:t>algoritmos</w:t>
      </w:r>
      <w:r w:rsidRPr="00C903A8">
        <w:rPr>
          <w:rFonts w:ascii="Times New Roman" w:hAnsi="Times New Roman" w:cs="Times New Roman"/>
          <w:lang w:val="es-ES"/>
        </w:rPr>
        <w:t>: a) bosque aleatorio y b) árbol de decisión.</w:t>
      </w:r>
      <w:r w:rsidR="005029A4" w:rsidRPr="00C903A8">
        <w:rPr>
          <w:rFonts w:ascii="Times New Roman" w:hAnsi="Times New Roman" w:cs="Times New Roman"/>
          <w:lang w:val="es-ES"/>
        </w:rPr>
        <w:t xml:space="preserve"> Así, p</w:t>
      </w:r>
      <w:r w:rsidRPr="00C903A8">
        <w:rPr>
          <w:rFonts w:ascii="Times New Roman" w:hAnsi="Times New Roman" w:cs="Times New Roman"/>
          <w:lang w:val="es-ES"/>
        </w:rPr>
        <w:t>ara la validación, se utilizaron 269 casos de prueba</w:t>
      </w:r>
      <w:r w:rsidR="00346FB7" w:rsidRPr="00C903A8">
        <w:rPr>
          <w:rFonts w:ascii="Times New Roman" w:hAnsi="Times New Roman" w:cs="Times New Roman"/>
          <w:lang w:val="es-ES"/>
        </w:rPr>
        <w:t xml:space="preserve">, que representa </w:t>
      </w:r>
      <w:r w:rsidRPr="00C903A8">
        <w:rPr>
          <w:rFonts w:ascii="Times New Roman" w:hAnsi="Times New Roman" w:cs="Times New Roman"/>
          <w:lang w:val="es-ES"/>
        </w:rPr>
        <w:t xml:space="preserve">el 30% de los registros </w:t>
      </w:r>
      <w:r w:rsidR="005029A4" w:rsidRPr="00C903A8">
        <w:rPr>
          <w:rFonts w:ascii="Times New Roman" w:hAnsi="Times New Roman" w:cs="Times New Roman"/>
          <w:lang w:val="es-ES"/>
        </w:rPr>
        <w:t>que son</w:t>
      </w:r>
      <w:r w:rsidRPr="00C903A8">
        <w:rPr>
          <w:rFonts w:ascii="Times New Roman" w:hAnsi="Times New Roman" w:cs="Times New Roman"/>
          <w:lang w:val="es-ES"/>
        </w:rPr>
        <w:t xml:space="preserve"> casos nuevos </w:t>
      </w:r>
      <w:r w:rsidR="00346FB7" w:rsidRPr="00C903A8">
        <w:rPr>
          <w:rFonts w:ascii="Times New Roman" w:hAnsi="Times New Roman" w:cs="Times New Roman"/>
          <w:lang w:val="es-ES"/>
        </w:rPr>
        <w:t xml:space="preserve">y </w:t>
      </w:r>
      <w:r w:rsidRPr="00C903A8">
        <w:rPr>
          <w:rFonts w:ascii="Times New Roman" w:hAnsi="Times New Roman" w:cs="Times New Roman"/>
          <w:lang w:val="es-ES"/>
        </w:rPr>
        <w:t>que no se utilizaron en el proceso de entrenamiento</w:t>
      </w:r>
      <w:r w:rsidR="00346FB7" w:rsidRPr="00C903A8">
        <w:rPr>
          <w:rFonts w:ascii="Times New Roman" w:hAnsi="Times New Roman" w:cs="Times New Roman"/>
          <w:lang w:val="es-ES"/>
        </w:rPr>
        <w:t>.</w:t>
      </w:r>
      <w:r w:rsidRPr="00C903A8">
        <w:rPr>
          <w:rFonts w:ascii="Times New Roman" w:hAnsi="Times New Roman" w:cs="Times New Roman"/>
          <w:lang w:val="es-ES"/>
        </w:rPr>
        <w:t xml:space="preserve"> </w:t>
      </w:r>
      <w:r w:rsidR="00346FB7" w:rsidRPr="00C903A8">
        <w:rPr>
          <w:rFonts w:ascii="Times New Roman" w:hAnsi="Times New Roman" w:cs="Times New Roman"/>
          <w:lang w:val="es-ES"/>
        </w:rPr>
        <w:t>D</w:t>
      </w:r>
      <w:r w:rsidRPr="00C903A8">
        <w:rPr>
          <w:rFonts w:ascii="Times New Roman" w:hAnsi="Times New Roman" w:cs="Times New Roman"/>
          <w:lang w:val="es-ES"/>
        </w:rPr>
        <w:t>e los cuales</w:t>
      </w:r>
      <w:r w:rsidR="00346FB7" w:rsidRPr="00C903A8">
        <w:rPr>
          <w:rFonts w:ascii="Times New Roman" w:hAnsi="Times New Roman" w:cs="Times New Roman"/>
          <w:lang w:val="es-ES"/>
        </w:rPr>
        <w:t>,</w:t>
      </w:r>
      <w:r w:rsidRPr="00C903A8">
        <w:rPr>
          <w:rFonts w:ascii="Times New Roman" w:hAnsi="Times New Roman" w:cs="Times New Roman"/>
          <w:lang w:val="es-ES"/>
        </w:rPr>
        <w:t xml:space="preserve"> 221 </w:t>
      </w:r>
      <w:r w:rsidR="00346FB7" w:rsidRPr="00C903A8">
        <w:rPr>
          <w:rFonts w:ascii="Times New Roman" w:hAnsi="Times New Roman" w:cs="Times New Roman"/>
          <w:lang w:val="es-ES"/>
        </w:rPr>
        <w:t xml:space="preserve">casos </w:t>
      </w:r>
      <w:r w:rsidRPr="00C903A8">
        <w:rPr>
          <w:rFonts w:ascii="Times New Roman" w:hAnsi="Times New Roman" w:cs="Times New Roman"/>
          <w:lang w:val="es-ES"/>
        </w:rPr>
        <w:t>se clasificaron correctamente mediante</w:t>
      </w:r>
      <w:r w:rsidR="00346FB7" w:rsidRPr="00C903A8">
        <w:rPr>
          <w:rFonts w:ascii="Times New Roman" w:hAnsi="Times New Roman" w:cs="Times New Roman"/>
          <w:lang w:val="es-ES"/>
        </w:rPr>
        <w:t xml:space="preserve"> el</w:t>
      </w:r>
      <w:r w:rsidRPr="00C903A8">
        <w:rPr>
          <w:rFonts w:ascii="Times New Roman" w:hAnsi="Times New Roman" w:cs="Times New Roman"/>
          <w:lang w:val="es-ES"/>
        </w:rPr>
        <w:t xml:space="preserve"> bosque aleatorio (Figura </w:t>
      </w:r>
      <w:r w:rsidR="005029A4" w:rsidRPr="00C903A8">
        <w:rPr>
          <w:rFonts w:ascii="Times New Roman" w:hAnsi="Times New Roman" w:cs="Times New Roman"/>
          <w:lang w:val="es-ES"/>
        </w:rPr>
        <w:t>4</w:t>
      </w:r>
      <w:r w:rsidRPr="00C903A8">
        <w:rPr>
          <w:rFonts w:ascii="Times New Roman" w:hAnsi="Times New Roman" w:cs="Times New Roman"/>
          <w:lang w:val="es-ES"/>
        </w:rPr>
        <w:t xml:space="preserve">a). Por otro lado, 214 casos se clasificaron correctamente mediante el árbol de decisión (Figura </w:t>
      </w:r>
      <w:r w:rsidR="005029A4" w:rsidRPr="00C903A8">
        <w:rPr>
          <w:rFonts w:ascii="Times New Roman" w:hAnsi="Times New Roman" w:cs="Times New Roman"/>
          <w:lang w:val="es-ES"/>
        </w:rPr>
        <w:t>4</w:t>
      </w:r>
      <w:r w:rsidRPr="00C903A8">
        <w:rPr>
          <w:rFonts w:ascii="Times New Roman" w:hAnsi="Times New Roman" w:cs="Times New Roman"/>
          <w:lang w:val="es-ES"/>
        </w:rPr>
        <w:t>b).</w:t>
      </w:r>
    </w:p>
    <w:p w14:paraId="03A71BDF" w14:textId="77777777" w:rsidR="00041B5E" w:rsidRDefault="00041B5E" w:rsidP="00C903A8">
      <w:pPr>
        <w:ind w:firstLine="720"/>
        <w:jc w:val="both"/>
        <w:rPr>
          <w:rFonts w:ascii="Times New Roman" w:hAnsi="Times New Roman" w:cs="Times New Roman"/>
          <w:lang w:val="es-ES"/>
        </w:rPr>
      </w:pPr>
    </w:p>
    <w:p w14:paraId="58171B00" w14:textId="77777777" w:rsidR="00041B5E" w:rsidRPr="00C903A8" w:rsidRDefault="00041B5E" w:rsidP="00041B5E">
      <w:pPr>
        <w:keepLines/>
        <w:tabs>
          <w:tab w:val="left" w:pos="567"/>
        </w:tabs>
        <w:jc w:val="center"/>
        <w:rPr>
          <w:rFonts w:ascii="Times New Roman" w:hAnsi="Times New Roman"/>
          <w:lang w:val="es-ES"/>
        </w:rPr>
      </w:pPr>
      <w:r w:rsidRPr="00C903A8">
        <w:rPr>
          <w:rFonts w:ascii="Times New Roman" w:hAnsi="Times New Roman"/>
          <w:b/>
          <w:bCs/>
          <w:lang w:val="es-ES"/>
        </w:rPr>
        <w:t>Figura 4.</w:t>
      </w:r>
      <w:r w:rsidRPr="00C903A8">
        <w:rPr>
          <w:rFonts w:ascii="Times New Roman" w:hAnsi="Times New Roman"/>
          <w:lang w:val="es-ES"/>
        </w:rPr>
        <w:t xml:space="preserve"> Matrices de clasificación obtenidas por el bosque aleatorio (a) y árbol de decisión (b).</w:t>
      </w:r>
    </w:p>
    <w:p w14:paraId="34A5CF86" w14:textId="77777777" w:rsidR="00041B5E" w:rsidRPr="00C903A8" w:rsidRDefault="00041B5E" w:rsidP="00C903A8">
      <w:pPr>
        <w:ind w:firstLine="720"/>
        <w:jc w:val="both"/>
        <w:rPr>
          <w:rFonts w:ascii="Times New Roman" w:hAnsi="Times New Roman" w:cs="Times New Roman"/>
          <w:lang w:val="es-ES"/>
        </w:rPr>
      </w:pPr>
    </w:p>
    <w:p w14:paraId="183D9D46" w14:textId="0EC75183" w:rsidR="005029A4" w:rsidRPr="00C903A8" w:rsidRDefault="005029A4" w:rsidP="00C903A8">
      <w:pPr>
        <w:rPr>
          <w:rFonts w:ascii="Times New Roman" w:hAnsi="Times New Roman" w:cs="Times New Roman"/>
          <w:lang w:val="es-ES"/>
        </w:rPr>
      </w:pP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263"/>
      </w:tblGrid>
      <w:tr w:rsidR="005029A4" w:rsidRPr="00C903A8" w14:paraId="52ADEA64" w14:textId="77777777" w:rsidTr="005029A4">
        <w:tc>
          <w:tcPr>
            <w:tcW w:w="3399" w:type="dxa"/>
          </w:tcPr>
          <w:p w14:paraId="722FEE69" w14:textId="15D8A18E" w:rsidR="005029A4" w:rsidRPr="00C903A8" w:rsidRDefault="005029A4" w:rsidP="00C903A8">
            <w:pPr>
              <w:jc w:val="center"/>
              <w:rPr>
                <w:rFonts w:ascii="Times New Roman" w:hAnsi="Times New Roman" w:cs="Times New Roman"/>
                <w:lang w:val="es-ES"/>
              </w:rPr>
            </w:pPr>
            <w:r w:rsidRPr="00C903A8">
              <w:rPr>
                <w:rFonts w:ascii="Times New Roman" w:hAnsi="Times New Roman"/>
                <w:noProof/>
              </w:rPr>
              <w:drawing>
                <wp:inline distT="114300" distB="114300" distL="114300" distR="114300" wp14:anchorId="32BA6EFF" wp14:editId="3F177F5D">
                  <wp:extent cx="1620000" cy="972000"/>
                  <wp:effectExtent l="12700" t="12700" r="18415" b="19050"/>
                  <wp:docPr id="6972119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620000" cy="972000"/>
                          </a:xfrm>
                          <a:prstGeom prst="rect">
                            <a:avLst/>
                          </a:prstGeom>
                          <a:ln w="12700">
                            <a:solidFill>
                              <a:srgbClr val="6D9EEB"/>
                            </a:solidFill>
                            <a:prstDash val="solid"/>
                          </a:ln>
                        </pic:spPr>
                      </pic:pic>
                    </a:graphicData>
                  </a:graphic>
                </wp:inline>
              </w:drawing>
            </w:r>
          </w:p>
        </w:tc>
        <w:tc>
          <w:tcPr>
            <w:tcW w:w="3263" w:type="dxa"/>
          </w:tcPr>
          <w:p w14:paraId="33DA2443" w14:textId="207EFEBF" w:rsidR="005029A4" w:rsidRPr="00C903A8" w:rsidRDefault="005029A4" w:rsidP="00C903A8">
            <w:pPr>
              <w:jc w:val="center"/>
              <w:rPr>
                <w:rFonts w:ascii="Times New Roman" w:hAnsi="Times New Roman" w:cs="Times New Roman"/>
                <w:lang w:val="es-ES"/>
              </w:rPr>
            </w:pPr>
            <w:r w:rsidRPr="00C903A8">
              <w:rPr>
                <w:rFonts w:ascii="Times New Roman" w:hAnsi="Times New Roman"/>
                <w:noProof/>
              </w:rPr>
              <w:drawing>
                <wp:inline distT="114300" distB="114300" distL="114300" distR="114300" wp14:anchorId="42FFB376" wp14:editId="36D41CCA">
                  <wp:extent cx="1620000" cy="972000"/>
                  <wp:effectExtent l="12700" t="12700" r="18415" b="19050"/>
                  <wp:docPr id="11086677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l="3360"/>
                          <a:stretch>
                            <a:fillRect/>
                          </a:stretch>
                        </pic:blipFill>
                        <pic:spPr>
                          <a:xfrm>
                            <a:off x="0" y="0"/>
                            <a:ext cx="1620000" cy="972000"/>
                          </a:xfrm>
                          <a:prstGeom prst="rect">
                            <a:avLst/>
                          </a:prstGeom>
                          <a:ln w="12700">
                            <a:solidFill>
                              <a:srgbClr val="6D9EEB"/>
                            </a:solidFill>
                            <a:prstDash val="solid"/>
                          </a:ln>
                        </pic:spPr>
                      </pic:pic>
                    </a:graphicData>
                  </a:graphic>
                </wp:inline>
              </w:drawing>
            </w:r>
          </w:p>
        </w:tc>
      </w:tr>
      <w:tr w:rsidR="005029A4" w:rsidRPr="00C903A8" w14:paraId="34875F44" w14:textId="77777777" w:rsidTr="005029A4">
        <w:tc>
          <w:tcPr>
            <w:tcW w:w="3399" w:type="dxa"/>
          </w:tcPr>
          <w:p w14:paraId="7505E62D" w14:textId="1CABAE32" w:rsidR="005029A4" w:rsidRPr="00C903A8" w:rsidRDefault="005029A4" w:rsidP="00C903A8">
            <w:pPr>
              <w:tabs>
                <w:tab w:val="left" w:pos="567"/>
              </w:tabs>
              <w:jc w:val="center"/>
              <w:rPr>
                <w:rFonts w:ascii="Times New Roman" w:hAnsi="Times New Roman"/>
              </w:rPr>
            </w:pPr>
            <w:r w:rsidRPr="00C903A8">
              <w:rPr>
                <w:rFonts w:ascii="Times New Roman" w:hAnsi="Times New Roman"/>
              </w:rPr>
              <w:t>(</w:t>
            </w:r>
            <w:r w:rsidRPr="00C903A8">
              <w:rPr>
                <w:rFonts w:ascii="Times New Roman" w:hAnsi="Times New Roman"/>
                <w:i/>
              </w:rPr>
              <w:t>a</w:t>
            </w:r>
            <w:r w:rsidRPr="00C903A8">
              <w:rPr>
                <w:rFonts w:ascii="Times New Roman" w:hAnsi="Times New Roman"/>
              </w:rPr>
              <w:t>)</w:t>
            </w:r>
          </w:p>
        </w:tc>
        <w:tc>
          <w:tcPr>
            <w:tcW w:w="3263" w:type="dxa"/>
          </w:tcPr>
          <w:p w14:paraId="7E5C431B" w14:textId="269D0671" w:rsidR="005029A4" w:rsidRPr="00C903A8" w:rsidRDefault="005029A4" w:rsidP="00C903A8">
            <w:pPr>
              <w:tabs>
                <w:tab w:val="left" w:pos="567"/>
              </w:tabs>
              <w:jc w:val="center"/>
              <w:rPr>
                <w:rFonts w:ascii="Times New Roman" w:hAnsi="Times New Roman"/>
              </w:rPr>
            </w:pPr>
            <w:r w:rsidRPr="00C903A8">
              <w:rPr>
                <w:rFonts w:ascii="Times New Roman" w:hAnsi="Times New Roman"/>
              </w:rPr>
              <w:t>(</w:t>
            </w:r>
            <w:r w:rsidRPr="00C903A8">
              <w:rPr>
                <w:rFonts w:ascii="Times New Roman" w:hAnsi="Times New Roman"/>
                <w:i/>
              </w:rPr>
              <w:t>b</w:t>
            </w:r>
            <w:r w:rsidRPr="00C903A8">
              <w:rPr>
                <w:rFonts w:ascii="Times New Roman" w:hAnsi="Times New Roman"/>
              </w:rPr>
              <w:t>)</w:t>
            </w:r>
          </w:p>
        </w:tc>
      </w:tr>
    </w:tbl>
    <w:p w14:paraId="284AECE2" w14:textId="77777777" w:rsidR="00041B5E" w:rsidRPr="00C903A8" w:rsidRDefault="00041B5E" w:rsidP="00041B5E">
      <w:pPr>
        <w:pStyle w:val="figurecaption"/>
        <w:numPr>
          <w:ilvl w:val="0"/>
          <w:numId w:val="0"/>
        </w:numPr>
        <w:spacing w:before="0" w:after="0"/>
        <w:ind w:left="357"/>
        <w:rPr>
          <w:sz w:val="24"/>
          <w:szCs w:val="24"/>
          <w:lang w:val="es-ES"/>
        </w:rPr>
      </w:pPr>
      <w:r>
        <w:rPr>
          <w:b/>
          <w:bCs/>
          <w:sz w:val="24"/>
          <w:szCs w:val="24"/>
          <w:lang w:val="es-ES"/>
        </w:rPr>
        <w:t>Fuente.</w:t>
      </w:r>
      <w:r>
        <w:rPr>
          <w:sz w:val="24"/>
          <w:szCs w:val="24"/>
          <w:lang w:val="es-ES"/>
        </w:rPr>
        <w:t xml:space="preserve"> </w:t>
      </w:r>
      <w:r w:rsidRPr="00C903A8">
        <w:rPr>
          <w:sz w:val="24"/>
          <w:szCs w:val="24"/>
          <w:lang w:val="es-ES"/>
        </w:rPr>
        <w:t xml:space="preserve"> Elaboración propia.</w:t>
      </w:r>
    </w:p>
    <w:p w14:paraId="5D6E6CBF" w14:textId="77777777" w:rsidR="00041B5E" w:rsidRDefault="00041B5E" w:rsidP="00041B5E">
      <w:pPr>
        <w:jc w:val="both"/>
        <w:rPr>
          <w:rFonts w:ascii="Times New Roman" w:hAnsi="Times New Roman" w:cs="Times New Roman"/>
          <w:lang w:val="es-ES"/>
        </w:rPr>
      </w:pPr>
    </w:p>
    <w:p w14:paraId="2247CD70" w14:textId="77777777" w:rsidR="00D60F78" w:rsidRPr="00C903A8" w:rsidRDefault="00D60F78" w:rsidP="00C903A8">
      <w:pPr>
        <w:ind w:firstLine="720"/>
        <w:jc w:val="both"/>
        <w:rPr>
          <w:b/>
          <w:lang w:val="es-ES"/>
        </w:rPr>
      </w:pPr>
    </w:p>
    <w:p w14:paraId="56264FA6" w14:textId="0CAEA049" w:rsidR="00513FC9" w:rsidRPr="00C903A8" w:rsidRDefault="00D60F78" w:rsidP="00041B5E">
      <w:pPr>
        <w:jc w:val="both"/>
        <w:rPr>
          <w:rFonts w:ascii="Times New Roman" w:hAnsi="Times New Roman" w:cs="Times New Roman"/>
          <w:lang w:val="es-ES"/>
        </w:rPr>
      </w:pPr>
      <w:r w:rsidRPr="00C903A8">
        <w:rPr>
          <w:rFonts w:ascii="Times New Roman" w:hAnsi="Times New Roman" w:cs="Times New Roman"/>
          <w:lang w:val="es-ES"/>
        </w:rPr>
        <w:t>La matriz de clasificación muestra información sobre el rendimiento de los algoritmos. Mide la exactitud, precisión, especificidad y sensibilidad de los modelos utilizados para clasificar el abandono escolar en la Facultad de Contaduría y Administración de la Universidad Veracruzana. Esta matriz contiene cuatro tipos de resultados: verdaderos positivos, verdaderos negativos, falsos positivos y falsos negativos, los cuales son parámetros fundamentales para analizar el desempeño de la clasificación obtenida.</w:t>
      </w:r>
    </w:p>
    <w:p w14:paraId="461162CC" w14:textId="77777777" w:rsidR="00D60F78" w:rsidRPr="00C903A8" w:rsidRDefault="00D60F78" w:rsidP="00C903A8">
      <w:pPr>
        <w:ind w:firstLine="720"/>
        <w:jc w:val="both"/>
        <w:rPr>
          <w:rFonts w:ascii="Times New Roman" w:hAnsi="Times New Roman" w:cs="Times New Roman"/>
          <w:lang w:val="es-ES"/>
        </w:rPr>
      </w:pPr>
    </w:p>
    <w:p w14:paraId="11419598" w14:textId="2D90CE98" w:rsidR="00044C5D" w:rsidRDefault="00505B63" w:rsidP="00C903A8">
      <w:pPr>
        <w:jc w:val="center"/>
        <w:rPr>
          <w:rFonts w:ascii="Times New Roman" w:hAnsi="Times New Roman" w:cs="Times New Roman"/>
          <w:b/>
          <w:bCs/>
          <w:sz w:val="28"/>
          <w:szCs w:val="28"/>
          <w:lang w:val="es-ES"/>
        </w:rPr>
      </w:pPr>
      <w:r w:rsidRPr="00C903A8">
        <w:rPr>
          <w:rFonts w:ascii="Times New Roman" w:hAnsi="Times New Roman" w:cs="Times New Roman"/>
          <w:b/>
          <w:bCs/>
          <w:sz w:val="28"/>
          <w:szCs w:val="28"/>
          <w:lang w:val="es-ES"/>
        </w:rPr>
        <w:t>Resultados</w:t>
      </w:r>
    </w:p>
    <w:p w14:paraId="7DBAD5CF" w14:textId="77777777" w:rsidR="00041B5E" w:rsidRDefault="00041B5E" w:rsidP="00041B5E">
      <w:pPr>
        <w:jc w:val="both"/>
        <w:rPr>
          <w:rFonts w:ascii="Times New Roman" w:hAnsi="Times New Roman" w:cs="Times New Roman"/>
          <w:b/>
          <w:bCs/>
          <w:sz w:val="28"/>
          <w:szCs w:val="28"/>
          <w:lang w:val="es-ES"/>
        </w:rPr>
      </w:pPr>
    </w:p>
    <w:p w14:paraId="4794FC2E" w14:textId="11CCED5D" w:rsidR="005029A4" w:rsidRPr="00C903A8" w:rsidRDefault="005029A4" w:rsidP="00041B5E">
      <w:pPr>
        <w:jc w:val="both"/>
        <w:rPr>
          <w:rFonts w:ascii="Times New Roman" w:hAnsi="Times New Roman" w:cs="Times New Roman"/>
          <w:lang w:val="es-ES"/>
        </w:rPr>
      </w:pPr>
      <w:r w:rsidRPr="00C903A8">
        <w:rPr>
          <w:rFonts w:ascii="Times New Roman" w:hAnsi="Times New Roman" w:cs="Times New Roman"/>
          <w:lang w:val="es-ES"/>
        </w:rPr>
        <w:lastRenderedPageBreak/>
        <w:t>Con base en la clasificación, se identificaron las variables con mayor aporte de información, las cuales se muestran en la Tabla 3. La variable más relevante para la clasificación de</w:t>
      </w:r>
      <w:r w:rsidR="00924E7B" w:rsidRPr="00C903A8">
        <w:rPr>
          <w:rFonts w:ascii="Times New Roman" w:hAnsi="Times New Roman" w:cs="Times New Roman"/>
          <w:lang w:val="es-ES"/>
        </w:rPr>
        <w:t xml:space="preserve">l abandono </w:t>
      </w:r>
      <w:r w:rsidRPr="00C903A8">
        <w:rPr>
          <w:rFonts w:ascii="Times New Roman" w:hAnsi="Times New Roman" w:cs="Times New Roman"/>
          <w:lang w:val="es-ES"/>
        </w:rPr>
        <w:t xml:space="preserve">universitaria fue </w:t>
      </w:r>
      <w:r w:rsidR="00134C07" w:rsidRPr="00C903A8">
        <w:rPr>
          <w:rFonts w:ascii="Times New Roman" w:hAnsi="Times New Roman" w:cs="Times New Roman"/>
          <w:lang w:val="es-ES"/>
        </w:rPr>
        <w:t>‘</w:t>
      </w:r>
      <w:r w:rsidR="00924E7B" w:rsidRPr="00C903A8">
        <w:rPr>
          <w:rFonts w:ascii="Times New Roman" w:hAnsi="Times New Roman" w:cs="Times New Roman"/>
          <w:lang w:val="es-ES"/>
        </w:rPr>
        <w:t>Matrícula’</w:t>
      </w:r>
      <w:r w:rsidRPr="00C903A8">
        <w:rPr>
          <w:rFonts w:ascii="Times New Roman" w:hAnsi="Times New Roman" w:cs="Times New Roman"/>
          <w:lang w:val="es-ES"/>
        </w:rPr>
        <w:t>, que se refiere a</w:t>
      </w:r>
      <w:r w:rsidR="00D60F78" w:rsidRPr="00C903A8">
        <w:rPr>
          <w:rFonts w:ascii="Times New Roman" w:hAnsi="Times New Roman" w:cs="Times New Roman"/>
          <w:lang w:val="es-ES"/>
        </w:rPr>
        <w:t xml:space="preserve">l abandono </w:t>
      </w:r>
      <w:r w:rsidRPr="00C903A8">
        <w:rPr>
          <w:rFonts w:ascii="Times New Roman" w:hAnsi="Times New Roman" w:cs="Times New Roman"/>
          <w:lang w:val="es-ES"/>
        </w:rPr>
        <w:t xml:space="preserve">escolar debido a los costos de </w:t>
      </w:r>
      <w:r w:rsidR="00134C07" w:rsidRPr="00C903A8">
        <w:rPr>
          <w:rFonts w:ascii="Times New Roman" w:hAnsi="Times New Roman" w:cs="Times New Roman"/>
          <w:lang w:val="es-ES"/>
        </w:rPr>
        <w:t>inscripción</w:t>
      </w:r>
      <w:r w:rsidRPr="00C903A8">
        <w:rPr>
          <w:rFonts w:ascii="Times New Roman" w:hAnsi="Times New Roman" w:cs="Times New Roman"/>
          <w:lang w:val="es-ES"/>
        </w:rPr>
        <w:t xml:space="preserve"> que el estudiante debe cubrir cada </w:t>
      </w:r>
      <w:r w:rsidR="00134C07" w:rsidRPr="00C903A8">
        <w:rPr>
          <w:rFonts w:ascii="Times New Roman" w:hAnsi="Times New Roman" w:cs="Times New Roman"/>
          <w:lang w:val="es-ES"/>
        </w:rPr>
        <w:t>semestre</w:t>
      </w:r>
      <w:r w:rsidRPr="00C903A8">
        <w:rPr>
          <w:rFonts w:ascii="Times New Roman" w:hAnsi="Times New Roman" w:cs="Times New Roman"/>
          <w:lang w:val="es-ES"/>
        </w:rPr>
        <w:t xml:space="preserve"> académico. Otra variable importante fue </w:t>
      </w:r>
      <w:r w:rsidR="00134C07" w:rsidRPr="00C903A8">
        <w:rPr>
          <w:rFonts w:ascii="Times New Roman" w:hAnsi="Times New Roman" w:cs="Times New Roman"/>
          <w:lang w:val="es-ES"/>
        </w:rPr>
        <w:t>‘Problemas</w:t>
      </w:r>
      <w:r w:rsidR="00924E7B" w:rsidRPr="00C903A8">
        <w:rPr>
          <w:rFonts w:ascii="Times New Roman" w:hAnsi="Times New Roman" w:cs="Times New Roman"/>
          <w:lang w:val="es-ES"/>
        </w:rPr>
        <w:t xml:space="preserve"> </w:t>
      </w:r>
      <w:r w:rsidR="00134C07" w:rsidRPr="00C903A8">
        <w:rPr>
          <w:rFonts w:ascii="Times New Roman" w:hAnsi="Times New Roman" w:cs="Times New Roman"/>
          <w:lang w:val="es-ES"/>
        </w:rPr>
        <w:t xml:space="preserve">Familiares’, </w:t>
      </w:r>
      <w:r w:rsidRPr="00C903A8">
        <w:rPr>
          <w:rFonts w:ascii="Times New Roman" w:hAnsi="Times New Roman" w:cs="Times New Roman"/>
          <w:lang w:val="es-ES"/>
        </w:rPr>
        <w:t>que se refiere a</w:t>
      </w:r>
      <w:r w:rsidR="00E95C8B" w:rsidRPr="00C903A8">
        <w:rPr>
          <w:rFonts w:ascii="Times New Roman" w:hAnsi="Times New Roman" w:cs="Times New Roman"/>
          <w:lang w:val="es-ES"/>
        </w:rPr>
        <w:t xml:space="preserve">l abandono </w:t>
      </w:r>
      <w:r w:rsidRPr="00C903A8">
        <w:rPr>
          <w:rFonts w:ascii="Times New Roman" w:hAnsi="Times New Roman" w:cs="Times New Roman"/>
          <w:lang w:val="es-ES"/>
        </w:rPr>
        <w:t xml:space="preserve">escolar debido a problemas familiares o laborales. La tercera variable fue </w:t>
      </w:r>
      <w:r w:rsidR="00134C07" w:rsidRPr="00C903A8">
        <w:rPr>
          <w:rFonts w:ascii="Times New Roman" w:hAnsi="Times New Roman" w:cs="Times New Roman"/>
          <w:lang w:val="es-ES"/>
        </w:rPr>
        <w:t>‘Dificultad</w:t>
      </w:r>
      <w:r w:rsidR="009E419D" w:rsidRPr="00C903A8">
        <w:rPr>
          <w:rFonts w:ascii="Times New Roman" w:hAnsi="Times New Roman" w:cs="Times New Roman"/>
          <w:lang w:val="es-ES"/>
        </w:rPr>
        <w:t>’</w:t>
      </w:r>
      <w:r w:rsidRPr="00C903A8">
        <w:rPr>
          <w:rFonts w:ascii="Times New Roman" w:hAnsi="Times New Roman" w:cs="Times New Roman"/>
          <w:lang w:val="es-ES"/>
        </w:rPr>
        <w:t>, que incluye información sobre la dificultad de los estudiantes para cubrir otros gastos universitarios, como transporte, materiales educativos, alimentación, ropa, alquiler, entre otros.</w:t>
      </w:r>
    </w:p>
    <w:p w14:paraId="72D3A2FD" w14:textId="3C20ABC3" w:rsidR="00134C07" w:rsidRPr="00C903A8" w:rsidRDefault="00134C07" w:rsidP="00C903A8">
      <w:pPr>
        <w:jc w:val="both"/>
        <w:rPr>
          <w:rFonts w:ascii="Times New Roman" w:hAnsi="Times New Roman" w:cs="Times New Roman"/>
          <w:lang w:val="es-ES"/>
        </w:rPr>
      </w:pPr>
    </w:p>
    <w:p w14:paraId="65093F18" w14:textId="02E70E4C"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b/>
          <w:bCs/>
          <w:lang w:val="es-ES"/>
        </w:rPr>
        <w:t>Tabla 3.</w:t>
      </w:r>
      <w:r w:rsidRPr="00C903A8">
        <w:rPr>
          <w:rFonts w:ascii="Times New Roman" w:hAnsi="Times New Roman" w:cs="Times New Roman"/>
          <w:lang w:val="es-ES"/>
        </w:rPr>
        <w:t xml:space="preserve"> Ganancia de información.</w:t>
      </w:r>
    </w:p>
    <w:tbl>
      <w:tblPr>
        <w:tblStyle w:val="Tablaconcuadrcula"/>
        <w:tblW w:w="5098" w:type="dxa"/>
        <w:jc w:val="center"/>
        <w:tblLayout w:type="fixed"/>
        <w:tblLook w:val="04A0" w:firstRow="1" w:lastRow="0" w:firstColumn="1" w:lastColumn="0" w:noHBand="0" w:noVBand="1"/>
      </w:tblPr>
      <w:tblGrid>
        <w:gridCol w:w="700"/>
        <w:gridCol w:w="2697"/>
        <w:gridCol w:w="1701"/>
      </w:tblGrid>
      <w:tr w:rsidR="00134C07" w:rsidRPr="00C903A8" w14:paraId="584184C2" w14:textId="77777777" w:rsidTr="00D60F78">
        <w:trPr>
          <w:jc w:val="center"/>
        </w:trPr>
        <w:tc>
          <w:tcPr>
            <w:tcW w:w="700" w:type="dxa"/>
            <w:vAlign w:val="center"/>
          </w:tcPr>
          <w:p w14:paraId="2EC6751B" w14:textId="46EB0A96" w:rsidR="00134C07" w:rsidRPr="00C903A8" w:rsidRDefault="00134C07" w:rsidP="00C903A8">
            <w:pPr>
              <w:rPr>
                <w:rFonts w:ascii="Times New Roman" w:hAnsi="Times New Roman" w:cs="Times New Roman"/>
                <w:lang w:val="es-ES_tradnl"/>
              </w:rPr>
            </w:pPr>
            <w:r w:rsidRPr="00C903A8">
              <w:rPr>
                <w:rFonts w:ascii="Times New Roman" w:hAnsi="Times New Roman" w:cs="Times New Roman"/>
                <w:lang w:val="es-ES_tradnl"/>
              </w:rPr>
              <w:t>No.</w:t>
            </w:r>
          </w:p>
        </w:tc>
        <w:tc>
          <w:tcPr>
            <w:tcW w:w="2697" w:type="dxa"/>
            <w:vAlign w:val="center"/>
          </w:tcPr>
          <w:p w14:paraId="0E874A2E" w14:textId="77777777" w:rsidR="00134C07" w:rsidRPr="00C903A8" w:rsidRDefault="00134C07" w:rsidP="00C903A8">
            <w:pPr>
              <w:rPr>
                <w:rFonts w:ascii="Times New Roman" w:hAnsi="Times New Roman" w:cs="Times New Roman"/>
                <w:lang w:val="es-ES_tradnl"/>
              </w:rPr>
            </w:pPr>
            <w:r w:rsidRPr="00C903A8">
              <w:rPr>
                <w:rFonts w:ascii="Times New Roman" w:hAnsi="Times New Roman" w:cs="Times New Roman"/>
                <w:lang w:val="es-ES_tradnl"/>
              </w:rPr>
              <w:t>Variable</w:t>
            </w:r>
          </w:p>
        </w:tc>
        <w:tc>
          <w:tcPr>
            <w:tcW w:w="1701" w:type="dxa"/>
            <w:vAlign w:val="center"/>
          </w:tcPr>
          <w:p w14:paraId="7735711E" w14:textId="3796B542" w:rsidR="00134C07" w:rsidRPr="00C903A8" w:rsidRDefault="00134C07" w:rsidP="00C903A8">
            <w:pPr>
              <w:rPr>
                <w:rFonts w:ascii="Times New Roman" w:hAnsi="Times New Roman" w:cs="Times New Roman"/>
                <w:lang w:val="es-ES_tradnl"/>
              </w:rPr>
            </w:pPr>
            <w:r w:rsidRPr="00C903A8">
              <w:rPr>
                <w:rFonts w:ascii="Times New Roman" w:hAnsi="Times New Roman" w:cs="Times New Roman"/>
                <w:lang w:val="es-ES_tradnl"/>
              </w:rPr>
              <w:t>Relevancia</w:t>
            </w:r>
          </w:p>
        </w:tc>
      </w:tr>
      <w:tr w:rsidR="0077725D" w:rsidRPr="00C903A8" w14:paraId="073003F8" w14:textId="77777777" w:rsidTr="00D60F78">
        <w:trPr>
          <w:jc w:val="center"/>
        </w:trPr>
        <w:tc>
          <w:tcPr>
            <w:tcW w:w="700" w:type="dxa"/>
            <w:vAlign w:val="center"/>
          </w:tcPr>
          <w:p w14:paraId="648EDFDD"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w:t>
            </w:r>
          </w:p>
        </w:tc>
        <w:tc>
          <w:tcPr>
            <w:tcW w:w="2697" w:type="dxa"/>
            <w:vAlign w:val="center"/>
          </w:tcPr>
          <w:p w14:paraId="582F15DF" w14:textId="3B840B78" w:rsidR="00134C07" w:rsidRPr="00C903A8" w:rsidRDefault="00924E7B" w:rsidP="00C903A8">
            <w:pPr>
              <w:rPr>
                <w:rFonts w:ascii="Times New Roman" w:hAnsi="Times New Roman" w:cs="Times New Roman"/>
                <w:lang w:val="es-ES"/>
              </w:rPr>
            </w:pPr>
            <w:r w:rsidRPr="00C903A8">
              <w:rPr>
                <w:rFonts w:ascii="Times New Roman" w:hAnsi="Times New Roman" w:cs="Times New Roman"/>
                <w:lang w:val="es-ES"/>
              </w:rPr>
              <w:t>Matrícula</w:t>
            </w:r>
          </w:p>
        </w:tc>
        <w:tc>
          <w:tcPr>
            <w:tcW w:w="1701" w:type="dxa"/>
            <w:vAlign w:val="center"/>
          </w:tcPr>
          <w:p w14:paraId="2166FE21" w14:textId="288E9C0C"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30.38</w:t>
            </w:r>
          </w:p>
        </w:tc>
      </w:tr>
      <w:tr w:rsidR="0077725D" w:rsidRPr="00C903A8" w14:paraId="10038584" w14:textId="77777777" w:rsidTr="00D60F78">
        <w:trPr>
          <w:jc w:val="center"/>
        </w:trPr>
        <w:tc>
          <w:tcPr>
            <w:tcW w:w="700" w:type="dxa"/>
            <w:vAlign w:val="center"/>
          </w:tcPr>
          <w:p w14:paraId="5814FB9D"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2</w:t>
            </w:r>
          </w:p>
        </w:tc>
        <w:tc>
          <w:tcPr>
            <w:tcW w:w="2697" w:type="dxa"/>
            <w:vAlign w:val="center"/>
          </w:tcPr>
          <w:p w14:paraId="38058A8E" w14:textId="2DA6C0C6" w:rsidR="00134C07" w:rsidRPr="00C903A8" w:rsidRDefault="00924E7B" w:rsidP="00C903A8">
            <w:pPr>
              <w:rPr>
                <w:rFonts w:ascii="Times New Roman" w:hAnsi="Times New Roman" w:cs="Times New Roman"/>
                <w:lang w:val="es-ES"/>
              </w:rPr>
            </w:pPr>
            <w:r w:rsidRPr="00C903A8">
              <w:rPr>
                <w:rFonts w:ascii="Times New Roman" w:hAnsi="Times New Roman" w:cs="Times New Roman"/>
                <w:lang w:val="es-ES"/>
              </w:rPr>
              <w:t>Problemas Familiares</w:t>
            </w:r>
          </w:p>
        </w:tc>
        <w:tc>
          <w:tcPr>
            <w:tcW w:w="1701" w:type="dxa"/>
            <w:vAlign w:val="center"/>
          </w:tcPr>
          <w:p w14:paraId="47A13F3B" w14:textId="1C2D39E2"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17.68</w:t>
            </w:r>
          </w:p>
        </w:tc>
      </w:tr>
      <w:tr w:rsidR="0077725D" w:rsidRPr="00C903A8" w14:paraId="45E2CA27" w14:textId="77777777" w:rsidTr="00D60F78">
        <w:trPr>
          <w:jc w:val="center"/>
        </w:trPr>
        <w:tc>
          <w:tcPr>
            <w:tcW w:w="700" w:type="dxa"/>
            <w:vAlign w:val="center"/>
          </w:tcPr>
          <w:p w14:paraId="7225CC93"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3</w:t>
            </w:r>
          </w:p>
        </w:tc>
        <w:tc>
          <w:tcPr>
            <w:tcW w:w="2697" w:type="dxa"/>
            <w:vAlign w:val="center"/>
          </w:tcPr>
          <w:p w14:paraId="2F262960" w14:textId="79E66A4A" w:rsidR="00134C07" w:rsidRPr="00C903A8" w:rsidRDefault="00924E7B" w:rsidP="00C903A8">
            <w:pPr>
              <w:rPr>
                <w:rFonts w:ascii="Times New Roman" w:hAnsi="Times New Roman" w:cs="Times New Roman"/>
                <w:lang w:val="es-ES"/>
              </w:rPr>
            </w:pPr>
            <w:r w:rsidRPr="00C903A8">
              <w:rPr>
                <w:rFonts w:ascii="Times New Roman" w:hAnsi="Times New Roman" w:cs="Times New Roman"/>
                <w:lang w:val="es-ES"/>
              </w:rPr>
              <w:t>Dificultad</w:t>
            </w:r>
          </w:p>
        </w:tc>
        <w:tc>
          <w:tcPr>
            <w:tcW w:w="1701" w:type="dxa"/>
            <w:vAlign w:val="center"/>
          </w:tcPr>
          <w:p w14:paraId="660E1905" w14:textId="6D950B2A"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14.95</w:t>
            </w:r>
          </w:p>
        </w:tc>
      </w:tr>
      <w:tr w:rsidR="0077725D" w:rsidRPr="00C903A8" w14:paraId="4C3F3E46" w14:textId="77777777" w:rsidTr="00D60F78">
        <w:trPr>
          <w:jc w:val="center"/>
        </w:trPr>
        <w:tc>
          <w:tcPr>
            <w:tcW w:w="700" w:type="dxa"/>
            <w:vAlign w:val="center"/>
          </w:tcPr>
          <w:p w14:paraId="2872253E"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4</w:t>
            </w:r>
          </w:p>
        </w:tc>
        <w:tc>
          <w:tcPr>
            <w:tcW w:w="2697" w:type="dxa"/>
            <w:vAlign w:val="center"/>
          </w:tcPr>
          <w:p w14:paraId="3E0B84A7" w14:textId="7B02FCBA" w:rsidR="00134C07" w:rsidRPr="00C903A8" w:rsidRDefault="00A517AD" w:rsidP="00C903A8">
            <w:pPr>
              <w:rPr>
                <w:rFonts w:ascii="Times New Roman" w:hAnsi="Times New Roman" w:cs="Times New Roman"/>
                <w:lang w:val="es-ES"/>
              </w:rPr>
            </w:pPr>
            <w:r w:rsidRPr="00C903A8">
              <w:rPr>
                <w:rFonts w:ascii="Times New Roman" w:hAnsi="Times New Roman" w:cs="Times New Roman"/>
                <w:lang w:val="es-ES"/>
              </w:rPr>
              <w:t>Ubicación</w:t>
            </w:r>
          </w:p>
        </w:tc>
        <w:tc>
          <w:tcPr>
            <w:tcW w:w="1701" w:type="dxa"/>
            <w:vAlign w:val="center"/>
          </w:tcPr>
          <w:p w14:paraId="5AECDF4C" w14:textId="1298EE62"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7.8</w:t>
            </w:r>
          </w:p>
        </w:tc>
      </w:tr>
      <w:tr w:rsidR="0077725D" w:rsidRPr="00C903A8" w14:paraId="228DCBE3" w14:textId="77777777" w:rsidTr="00D60F78">
        <w:trPr>
          <w:jc w:val="center"/>
        </w:trPr>
        <w:tc>
          <w:tcPr>
            <w:tcW w:w="700" w:type="dxa"/>
            <w:vAlign w:val="center"/>
          </w:tcPr>
          <w:p w14:paraId="3144F133"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5</w:t>
            </w:r>
          </w:p>
        </w:tc>
        <w:tc>
          <w:tcPr>
            <w:tcW w:w="2697" w:type="dxa"/>
            <w:vAlign w:val="center"/>
          </w:tcPr>
          <w:p w14:paraId="3CE60F57" w14:textId="62AF8CE6" w:rsidR="00134C07" w:rsidRPr="00C903A8" w:rsidRDefault="00A517AD" w:rsidP="00C903A8">
            <w:pPr>
              <w:pStyle w:val="p1"/>
              <w:rPr>
                <w:rFonts w:eastAsiaTheme="minorHAnsi"/>
                <w:color w:val="auto"/>
                <w:kern w:val="2"/>
                <w:sz w:val="24"/>
                <w:szCs w:val="24"/>
                <w:lang w:val="es-ES" w:eastAsia="en-US"/>
                <w14:ligatures w14:val="standardContextual"/>
              </w:rPr>
            </w:pPr>
            <w:r w:rsidRPr="00C903A8">
              <w:rPr>
                <w:rFonts w:eastAsiaTheme="minorHAnsi"/>
                <w:color w:val="auto"/>
                <w:kern w:val="2"/>
                <w:sz w:val="24"/>
                <w:szCs w:val="24"/>
                <w:lang w:val="es-ES" w:eastAsia="en-US"/>
                <w14:ligatures w14:val="standardContextual"/>
              </w:rPr>
              <w:t>Programa</w:t>
            </w:r>
          </w:p>
        </w:tc>
        <w:tc>
          <w:tcPr>
            <w:tcW w:w="1701" w:type="dxa"/>
            <w:vAlign w:val="center"/>
          </w:tcPr>
          <w:p w14:paraId="60E73FF7" w14:textId="1AD0AB2B"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5.2</w:t>
            </w:r>
          </w:p>
        </w:tc>
      </w:tr>
      <w:tr w:rsidR="0077725D" w:rsidRPr="00C903A8" w14:paraId="52A84C9C" w14:textId="77777777" w:rsidTr="00D60F78">
        <w:trPr>
          <w:jc w:val="center"/>
        </w:trPr>
        <w:tc>
          <w:tcPr>
            <w:tcW w:w="700" w:type="dxa"/>
            <w:vAlign w:val="center"/>
          </w:tcPr>
          <w:p w14:paraId="34D37F2F"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6</w:t>
            </w:r>
          </w:p>
        </w:tc>
        <w:tc>
          <w:tcPr>
            <w:tcW w:w="2697" w:type="dxa"/>
            <w:vAlign w:val="center"/>
          </w:tcPr>
          <w:p w14:paraId="30C2FEFF" w14:textId="27059FE4" w:rsidR="00134C07" w:rsidRPr="00C903A8" w:rsidRDefault="00A517AD" w:rsidP="00C903A8">
            <w:pPr>
              <w:pStyle w:val="p1"/>
              <w:rPr>
                <w:rFonts w:eastAsiaTheme="minorHAnsi"/>
                <w:color w:val="auto"/>
                <w:kern w:val="2"/>
                <w:sz w:val="24"/>
                <w:szCs w:val="24"/>
                <w:lang w:val="es-ES" w:eastAsia="en-US"/>
                <w14:ligatures w14:val="standardContextual"/>
              </w:rPr>
            </w:pPr>
            <w:r w:rsidRPr="00C903A8">
              <w:rPr>
                <w:rFonts w:eastAsiaTheme="minorHAnsi"/>
                <w:color w:val="auto"/>
                <w:kern w:val="2"/>
                <w:sz w:val="24"/>
                <w:szCs w:val="24"/>
                <w:lang w:val="es-ES" w:eastAsia="en-US"/>
                <w14:ligatures w14:val="standardContextual"/>
              </w:rPr>
              <w:t>Semestre</w:t>
            </w:r>
          </w:p>
        </w:tc>
        <w:tc>
          <w:tcPr>
            <w:tcW w:w="1701" w:type="dxa"/>
            <w:vAlign w:val="center"/>
          </w:tcPr>
          <w:p w14:paraId="43BD5D12" w14:textId="7DEAF2F6"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5.1</w:t>
            </w:r>
          </w:p>
        </w:tc>
      </w:tr>
      <w:tr w:rsidR="0077725D" w:rsidRPr="00C903A8" w14:paraId="43399BB8" w14:textId="77777777" w:rsidTr="00D60F78">
        <w:trPr>
          <w:jc w:val="center"/>
        </w:trPr>
        <w:tc>
          <w:tcPr>
            <w:tcW w:w="700" w:type="dxa"/>
            <w:vAlign w:val="center"/>
          </w:tcPr>
          <w:p w14:paraId="1D8FEB0B"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7</w:t>
            </w:r>
          </w:p>
        </w:tc>
        <w:tc>
          <w:tcPr>
            <w:tcW w:w="2697" w:type="dxa"/>
            <w:vAlign w:val="center"/>
          </w:tcPr>
          <w:p w14:paraId="3538CDD4" w14:textId="18E5F444" w:rsidR="00134C07" w:rsidRPr="00C903A8" w:rsidRDefault="00A517AD" w:rsidP="00C903A8">
            <w:pPr>
              <w:pStyle w:val="p1"/>
              <w:rPr>
                <w:rFonts w:eastAsiaTheme="minorHAnsi"/>
                <w:color w:val="auto"/>
                <w:kern w:val="2"/>
                <w:sz w:val="24"/>
                <w:szCs w:val="24"/>
                <w:lang w:val="es-ES" w:eastAsia="en-US"/>
                <w14:ligatures w14:val="standardContextual"/>
              </w:rPr>
            </w:pPr>
            <w:r w:rsidRPr="00C903A8">
              <w:rPr>
                <w:rFonts w:eastAsiaTheme="minorHAnsi"/>
                <w:color w:val="auto"/>
                <w:kern w:val="2"/>
                <w:sz w:val="24"/>
                <w:szCs w:val="24"/>
                <w:lang w:val="es-ES" w:eastAsia="en-US"/>
                <w14:ligatures w14:val="standardContextual"/>
              </w:rPr>
              <w:t>Conflictos</w:t>
            </w:r>
          </w:p>
        </w:tc>
        <w:tc>
          <w:tcPr>
            <w:tcW w:w="1701" w:type="dxa"/>
            <w:vAlign w:val="center"/>
          </w:tcPr>
          <w:p w14:paraId="5F3D06C5" w14:textId="4110B64E"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3.3</w:t>
            </w:r>
          </w:p>
        </w:tc>
      </w:tr>
      <w:tr w:rsidR="0077725D" w:rsidRPr="00C903A8" w14:paraId="3D364815" w14:textId="77777777" w:rsidTr="00D60F78">
        <w:trPr>
          <w:jc w:val="center"/>
        </w:trPr>
        <w:tc>
          <w:tcPr>
            <w:tcW w:w="700" w:type="dxa"/>
            <w:vAlign w:val="center"/>
          </w:tcPr>
          <w:p w14:paraId="1417A7C1"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8</w:t>
            </w:r>
          </w:p>
        </w:tc>
        <w:tc>
          <w:tcPr>
            <w:tcW w:w="2697" w:type="dxa"/>
            <w:vAlign w:val="center"/>
          </w:tcPr>
          <w:p w14:paraId="6A8B5CA5" w14:textId="096E8EF7" w:rsidR="00134C07" w:rsidRPr="00C903A8" w:rsidRDefault="004033E3" w:rsidP="00C903A8">
            <w:pPr>
              <w:pStyle w:val="p1"/>
              <w:rPr>
                <w:rFonts w:eastAsiaTheme="minorHAnsi"/>
                <w:color w:val="auto"/>
                <w:kern w:val="2"/>
                <w:sz w:val="24"/>
                <w:szCs w:val="24"/>
                <w:lang w:val="es-ES" w:eastAsia="en-US"/>
                <w14:ligatures w14:val="standardContextual"/>
              </w:rPr>
            </w:pPr>
            <w:r w:rsidRPr="00C903A8">
              <w:rPr>
                <w:rFonts w:eastAsiaTheme="minorHAnsi"/>
                <w:color w:val="auto"/>
                <w:kern w:val="2"/>
                <w:sz w:val="24"/>
                <w:szCs w:val="24"/>
                <w:lang w:val="es-ES" w:eastAsia="en-US"/>
                <w14:ligatures w14:val="standardContextual"/>
              </w:rPr>
              <w:t>Satisfacción</w:t>
            </w:r>
          </w:p>
        </w:tc>
        <w:tc>
          <w:tcPr>
            <w:tcW w:w="1701" w:type="dxa"/>
            <w:vAlign w:val="center"/>
          </w:tcPr>
          <w:p w14:paraId="7F6E155B" w14:textId="4BF9CEE9"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2.9</w:t>
            </w:r>
          </w:p>
        </w:tc>
      </w:tr>
      <w:tr w:rsidR="0077725D" w:rsidRPr="00C903A8" w14:paraId="399C869F" w14:textId="77777777" w:rsidTr="00D60F78">
        <w:trPr>
          <w:jc w:val="center"/>
        </w:trPr>
        <w:tc>
          <w:tcPr>
            <w:tcW w:w="700" w:type="dxa"/>
            <w:vAlign w:val="center"/>
          </w:tcPr>
          <w:p w14:paraId="66782990"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9</w:t>
            </w:r>
          </w:p>
        </w:tc>
        <w:tc>
          <w:tcPr>
            <w:tcW w:w="2697" w:type="dxa"/>
            <w:vAlign w:val="center"/>
          </w:tcPr>
          <w:p w14:paraId="2ADF74A5" w14:textId="6897FF5F" w:rsidR="00134C07" w:rsidRPr="00C903A8" w:rsidRDefault="004033E3" w:rsidP="00C903A8">
            <w:pPr>
              <w:rPr>
                <w:rFonts w:ascii="Times New Roman" w:hAnsi="Times New Roman" w:cs="Times New Roman"/>
                <w:lang w:val="es-ES"/>
              </w:rPr>
            </w:pPr>
            <w:r w:rsidRPr="00C903A8">
              <w:rPr>
                <w:rFonts w:ascii="Times New Roman" w:hAnsi="Times New Roman" w:cs="Times New Roman"/>
                <w:lang w:val="es-ES"/>
              </w:rPr>
              <w:t>Sexo</w:t>
            </w:r>
          </w:p>
        </w:tc>
        <w:tc>
          <w:tcPr>
            <w:tcW w:w="1701" w:type="dxa"/>
            <w:vAlign w:val="center"/>
          </w:tcPr>
          <w:p w14:paraId="598AB708" w14:textId="58CD389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1.9</w:t>
            </w:r>
          </w:p>
        </w:tc>
      </w:tr>
      <w:tr w:rsidR="0077725D" w:rsidRPr="00C903A8" w14:paraId="7FB05C18" w14:textId="77777777" w:rsidTr="00D60F78">
        <w:trPr>
          <w:jc w:val="center"/>
        </w:trPr>
        <w:tc>
          <w:tcPr>
            <w:tcW w:w="700" w:type="dxa"/>
            <w:vAlign w:val="center"/>
          </w:tcPr>
          <w:p w14:paraId="44E55E00"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10</w:t>
            </w:r>
          </w:p>
        </w:tc>
        <w:tc>
          <w:tcPr>
            <w:tcW w:w="2697" w:type="dxa"/>
            <w:vAlign w:val="center"/>
          </w:tcPr>
          <w:p w14:paraId="2E53F07B" w14:textId="01083018" w:rsidR="00134C07" w:rsidRPr="00C903A8" w:rsidRDefault="004033E3" w:rsidP="00C903A8">
            <w:pPr>
              <w:rPr>
                <w:rFonts w:ascii="Times New Roman" w:hAnsi="Times New Roman" w:cs="Times New Roman"/>
                <w:lang w:val="es-ES"/>
              </w:rPr>
            </w:pPr>
            <w:r w:rsidRPr="00C903A8">
              <w:rPr>
                <w:rFonts w:ascii="Times New Roman" w:hAnsi="Times New Roman" w:cs="Times New Roman"/>
                <w:lang w:val="es-ES"/>
              </w:rPr>
              <w:t>Salud Mental</w:t>
            </w:r>
          </w:p>
        </w:tc>
        <w:tc>
          <w:tcPr>
            <w:tcW w:w="1701" w:type="dxa"/>
            <w:vAlign w:val="center"/>
          </w:tcPr>
          <w:p w14:paraId="653D674A" w14:textId="3DF0703A"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1.9</w:t>
            </w:r>
          </w:p>
        </w:tc>
      </w:tr>
      <w:tr w:rsidR="0077725D" w:rsidRPr="00C903A8" w14:paraId="0F413E9F" w14:textId="77777777" w:rsidTr="00D60F78">
        <w:trPr>
          <w:jc w:val="center"/>
        </w:trPr>
        <w:tc>
          <w:tcPr>
            <w:tcW w:w="700" w:type="dxa"/>
            <w:vAlign w:val="center"/>
          </w:tcPr>
          <w:p w14:paraId="2BC9F93C"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11</w:t>
            </w:r>
          </w:p>
        </w:tc>
        <w:tc>
          <w:tcPr>
            <w:tcW w:w="2697" w:type="dxa"/>
            <w:vAlign w:val="center"/>
          </w:tcPr>
          <w:p w14:paraId="7E6B37A7" w14:textId="49EC0196" w:rsidR="00134C07" w:rsidRPr="00C903A8" w:rsidRDefault="004033E3" w:rsidP="00C903A8">
            <w:pPr>
              <w:rPr>
                <w:rFonts w:ascii="Times New Roman" w:hAnsi="Times New Roman" w:cs="Times New Roman"/>
                <w:lang w:val="es-ES"/>
              </w:rPr>
            </w:pPr>
            <w:r w:rsidRPr="00C903A8">
              <w:rPr>
                <w:rFonts w:ascii="Times New Roman" w:hAnsi="Times New Roman" w:cs="Times New Roman"/>
                <w:lang w:val="es-ES"/>
              </w:rPr>
              <w:t>Repitente</w:t>
            </w:r>
          </w:p>
        </w:tc>
        <w:tc>
          <w:tcPr>
            <w:tcW w:w="1701" w:type="dxa"/>
            <w:vAlign w:val="center"/>
          </w:tcPr>
          <w:p w14:paraId="7242FF18" w14:textId="56534CB5"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1.8</w:t>
            </w:r>
          </w:p>
        </w:tc>
      </w:tr>
      <w:tr w:rsidR="00134C07" w:rsidRPr="00C903A8" w14:paraId="591CC7DB" w14:textId="77777777" w:rsidTr="00D60F78">
        <w:trPr>
          <w:jc w:val="center"/>
        </w:trPr>
        <w:tc>
          <w:tcPr>
            <w:tcW w:w="700" w:type="dxa"/>
            <w:vAlign w:val="center"/>
          </w:tcPr>
          <w:p w14:paraId="550C19D3"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12</w:t>
            </w:r>
          </w:p>
        </w:tc>
        <w:tc>
          <w:tcPr>
            <w:tcW w:w="2697" w:type="dxa"/>
            <w:vAlign w:val="center"/>
          </w:tcPr>
          <w:p w14:paraId="4C47991B" w14:textId="41145835" w:rsidR="00134C07" w:rsidRPr="00C903A8" w:rsidRDefault="006E52CC" w:rsidP="00C903A8">
            <w:pPr>
              <w:rPr>
                <w:rFonts w:ascii="Times New Roman" w:hAnsi="Times New Roman" w:cs="Times New Roman"/>
                <w:lang w:val="es-ES"/>
              </w:rPr>
            </w:pPr>
            <w:r w:rsidRPr="00C903A8">
              <w:rPr>
                <w:rFonts w:ascii="Times New Roman" w:hAnsi="Times New Roman" w:cs="Times New Roman"/>
                <w:lang w:val="es-ES"/>
              </w:rPr>
              <w:t>Abandono</w:t>
            </w:r>
          </w:p>
        </w:tc>
        <w:tc>
          <w:tcPr>
            <w:tcW w:w="1701" w:type="dxa"/>
            <w:vAlign w:val="center"/>
          </w:tcPr>
          <w:p w14:paraId="71C97866" w14:textId="6377CA80"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1.6</w:t>
            </w:r>
          </w:p>
        </w:tc>
      </w:tr>
      <w:tr w:rsidR="00134C07" w:rsidRPr="00C903A8" w14:paraId="31CC9191" w14:textId="77777777" w:rsidTr="00D60F78">
        <w:trPr>
          <w:jc w:val="center"/>
        </w:trPr>
        <w:tc>
          <w:tcPr>
            <w:tcW w:w="700" w:type="dxa"/>
            <w:vAlign w:val="center"/>
          </w:tcPr>
          <w:p w14:paraId="402BFE7D"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13</w:t>
            </w:r>
          </w:p>
        </w:tc>
        <w:tc>
          <w:tcPr>
            <w:tcW w:w="2697" w:type="dxa"/>
            <w:vAlign w:val="center"/>
          </w:tcPr>
          <w:p w14:paraId="72CEEAC2" w14:textId="69C00600" w:rsidR="00134C07" w:rsidRPr="00C903A8" w:rsidRDefault="006E52CC" w:rsidP="00C903A8">
            <w:pPr>
              <w:pStyle w:val="p1"/>
              <w:rPr>
                <w:rFonts w:eastAsiaTheme="minorHAnsi"/>
                <w:color w:val="auto"/>
                <w:kern w:val="2"/>
                <w:sz w:val="24"/>
                <w:szCs w:val="24"/>
                <w:lang w:val="es-ES" w:eastAsia="en-US"/>
                <w14:ligatures w14:val="standardContextual"/>
              </w:rPr>
            </w:pPr>
            <w:r w:rsidRPr="00C903A8">
              <w:rPr>
                <w:rFonts w:eastAsiaTheme="minorHAnsi"/>
                <w:color w:val="auto"/>
                <w:kern w:val="2"/>
                <w:sz w:val="24"/>
                <w:szCs w:val="24"/>
                <w:lang w:val="es-ES" w:eastAsia="en-US"/>
                <w14:ligatures w14:val="standardContextual"/>
              </w:rPr>
              <w:t>Expectativa</w:t>
            </w:r>
          </w:p>
        </w:tc>
        <w:tc>
          <w:tcPr>
            <w:tcW w:w="1701" w:type="dxa"/>
            <w:vAlign w:val="center"/>
          </w:tcPr>
          <w:p w14:paraId="0710FD28" w14:textId="774A2FB2"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1.6</w:t>
            </w:r>
          </w:p>
        </w:tc>
      </w:tr>
      <w:tr w:rsidR="00134C07" w:rsidRPr="00C903A8" w14:paraId="68D2A8D6" w14:textId="77777777" w:rsidTr="00D60F78">
        <w:trPr>
          <w:jc w:val="center"/>
        </w:trPr>
        <w:tc>
          <w:tcPr>
            <w:tcW w:w="700" w:type="dxa"/>
            <w:vAlign w:val="center"/>
          </w:tcPr>
          <w:p w14:paraId="0FF93DB2" w14:textId="77777777"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14</w:t>
            </w:r>
          </w:p>
        </w:tc>
        <w:tc>
          <w:tcPr>
            <w:tcW w:w="2697" w:type="dxa"/>
            <w:vAlign w:val="center"/>
          </w:tcPr>
          <w:p w14:paraId="67C09D38" w14:textId="3D845064" w:rsidR="00134C07" w:rsidRPr="00C903A8" w:rsidRDefault="006E52CC" w:rsidP="00C903A8">
            <w:pPr>
              <w:rPr>
                <w:rFonts w:ascii="Times New Roman" w:hAnsi="Times New Roman" w:cs="Times New Roman"/>
                <w:lang w:val="es-ES"/>
              </w:rPr>
            </w:pPr>
            <w:r w:rsidRPr="00C903A8">
              <w:rPr>
                <w:rFonts w:ascii="Times New Roman" w:hAnsi="Times New Roman" w:cs="Times New Roman"/>
                <w:lang w:val="es-ES"/>
              </w:rPr>
              <w:t>Estatuto</w:t>
            </w:r>
          </w:p>
        </w:tc>
        <w:tc>
          <w:tcPr>
            <w:tcW w:w="1701" w:type="dxa"/>
            <w:vAlign w:val="center"/>
          </w:tcPr>
          <w:p w14:paraId="635C5917" w14:textId="59652CBD" w:rsidR="00134C07" w:rsidRPr="00C903A8" w:rsidRDefault="00134C07" w:rsidP="00C903A8">
            <w:pPr>
              <w:jc w:val="center"/>
              <w:rPr>
                <w:rFonts w:ascii="Times New Roman" w:hAnsi="Times New Roman" w:cs="Times New Roman"/>
                <w:lang w:val="es-ES"/>
              </w:rPr>
            </w:pPr>
            <w:r w:rsidRPr="00C903A8">
              <w:rPr>
                <w:rFonts w:ascii="Times New Roman" w:hAnsi="Times New Roman" w:cs="Times New Roman"/>
                <w:lang w:val="es-ES"/>
              </w:rPr>
              <w:t>1.4</w:t>
            </w:r>
          </w:p>
        </w:tc>
      </w:tr>
      <w:tr w:rsidR="006E52CC" w:rsidRPr="00C903A8" w14:paraId="067DB608" w14:textId="77777777" w:rsidTr="00D60F78">
        <w:trPr>
          <w:jc w:val="center"/>
        </w:trPr>
        <w:tc>
          <w:tcPr>
            <w:tcW w:w="700" w:type="dxa"/>
            <w:vAlign w:val="center"/>
          </w:tcPr>
          <w:p w14:paraId="74A3FFA4" w14:textId="77777777" w:rsidR="006E52CC" w:rsidRPr="00C903A8" w:rsidRDefault="006E52CC" w:rsidP="00C903A8">
            <w:pPr>
              <w:jc w:val="center"/>
              <w:rPr>
                <w:rFonts w:ascii="Times New Roman" w:hAnsi="Times New Roman" w:cs="Times New Roman"/>
                <w:lang w:val="es-ES"/>
              </w:rPr>
            </w:pPr>
            <w:r w:rsidRPr="00C903A8">
              <w:rPr>
                <w:rFonts w:ascii="Times New Roman" w:hAnsi="Times New Roman" w:cs="Times New Roman"/>
                <w:lang w:val="es-ES"/>
              </w:rPr>
              <w:t>15</w:t>
            </w:r>
          </w:p>
        </w:tc>
        <w:tc>
          <w:tcPr>
            <w:tcW w:w="2697" w:type="dxa"/>
            <w:vAlign w:val="center"/>
          </w:tcPr>
          <w:p w14:paraId="529337FA" w14:textId="36DF2E57" w:rsidR="006E52CC" w:rsidRPr="00C903A8" w:rsidRDefault="006E52CC" w:rsidP="00C903A8">
            <w:pPr>
              <w:rPr>
                <w:rFonts w:ascii="Times New Roman" w:hAnsi="Times New Roman" w:cs="Times New Roman"/>
                <w:lang w:val="es-ES"/>
              </w:rPr>
            </w:pPr>
            <w:r w:rsidRPr="00C903A8">
              <w:rPr>
                <w:rFonts w:ascii="Times New Roman" w:hAnsi="Times New Roman" w:cs="Times New Roman"/>
                <w:lang w:val="es-ES"/>
              </w:rPr>
              <w:t>Falta de Equipos</w:t>
            </w:r>
          </w:p>
        </w:tc>
        <w:tc>
          <w:tcPr>
            <w:tcW w:w="1701" w:type="dxa"/>
            <w:vAlign w:val="center"/>
          </w:tcPr>
          <w:p w14:paraId="74D76655" w14:textId="4D997060" w:rsidR="006E52CC" w:rsidRPr="00C903A8" w:rsidRDefault="006E52CC" w:rsidP="00C903A8">
            <w:pPr>
              <w:jc w:val="center"/>
              <w:rPr>
                <w:rFonts w:ascii="Times New Roman" w:hAnsi="Times New Roman" w:cs="Times New Roman"/>
                <w:lang w:val="es-ES"/>
              </w:rPr>
            </w:pPr>
            <w:r w:rsidRPr="00C903A8">
              <w:rPr>
                <w:rFonts w:ascii="Times New Roman" w:hAnsi="Times New Roman" w:cs="Times New Roman"/>
                <w:lang w:val="es-ES"/>
              </w:rPr>
              <w:t>1.3</w:t>
            </w:r>
          </w:p>
        </w:tc>
      </w:tr>
      <w:tr w:rsidR="006E52CC" w:rsidRPr="00C903A8" w14:paraId="2EE8C790" w14:textId="77777777" w:rsidTr="00D60F78">
        <w:trPr>
          <w:jc w:val="center"/>
        </w:trPr>
        <w:tc>
          <w:tcPr>
            <w:tcW w:w="700" w:type="dxa"/>
            <w:vAlign w:val="center"/>
          </w:tcPr>
          <w:p w14:paraId="1FBCFACB" w14:textId="77777777" w:rsidR="006E52CC" w:rsidRPr="00C903A8" w:rsidRDefault="006E52CC" w:rsidP="00C903A8">
            <w:pPr>
              <w:jc w:val="center"/>
              <w:rPr>
                <w:rFonts w:ascii="Times New Roman" w:hAnsi="Times New Roman" w:cs="Times New Roman"/>
                <w:lang w:val="es-ES"/>
              </w:rPr>
            </w:pPr>
            <w:r w:rsidRPr="00C903A8">
              <w:rPr>
                <w:rFonts w:ascii="Times New Roman" w:hAnsi="Times New Roman" w:cs="Times New Roman"/>
                <w:lang w:val="es-ES"/>
              </w:rPr>
              <w:t>16</w:t>
            </w:r>
          </w:p>
        </w:tc>
        <w:tc>
          <w:tcPr>
            <w:tcW w:w="2697" w:type="dxa"/>
            <w:vAlign w:val="center"/>
          </w:tcPr>
          <w:p w14:paraId="2FEE05D4" w14:textId="64BAB3B2" w:rsidR="006E52CC" w:rsidRPr="00C903A8" w:rsidRDefault="006E52CC" w:rsidP="00C903A8">
            <w:pPr>
              <w:rPr>
                <w:rFonts w:ascii="Times New Roman" w:hAnsi="Times New Roman" w:cs="Times New Roman"/>
                <w:lang w:val="es-ES"/>
              </w:rPr>
            </w:pPr>
            <w:r w:rsidRPr="00C903A8">
              <w:rPr>
                <w:rFonts w:ascii="Times New Roman" w:hAnsi="Times New Roman" w:cs="Times New Roman"/>
                <w:lang w:val="es-ES"/>
              </w:rPr>
              <w:t>Salud Física</w:t>
            </w:r>
          </w:p>
        </w:tc>
        <w:tc>
          <w:tcPr>
            <w:tcW w:w="1701" w:type="dxa"/>
            <w:vAlign w:val="center"/>
          </w:tcPr>
          <w:p w14:paraId="596265D0" w14:textId="4565AB69" w:rsidR="006E52CC" w:rsidRPr="00C903A8" w:rsidRDefault="006E52CC" w:rsidP="00C903A8">
            <w:pPr>
              <w:jc w:val="center"/>
              <w:rPr>
                <w:rFonts w:ascii="Times New Roman" w:hAnsi="Times New Roman" w:cs="Times New Roman"/>
                <w:lang w:val="es-ES"/>
              </w:rPr>
            </w:pPr>
            <w:r w:rsidRPr="00C903A8">
              <w:rPr>
                <w:rFonts w:ascii="Times New Roman" w:hAnsi="Times New Roman" w:cs="Times New Roman"/>
                <w:lang w:val="es-ES"/>
              </w:rPr>
              <w:t>0.9</w:t>
            </w:r>
          </w:p>
        </w:tc>
      </w:tr>
    </w:tbl>
    <w:p w14:paraId="1337E146" w14:textId="77777777" w:rsidR="00041B5E" w:rsidRDefault="00041B5E" w:rsidP="00041B5E">
      <w:pPr>
        <w:jc w:val="both"/>
        <w:rPr>
          <w:rFonts w:ascii="Times New Roman" w:hAnsi="Times New Roman" w:cs="Times New Roman"/>
          <w:lang w:val="es-ES"/>
        </w:rPr>
      </w:pPr>
    </w:p>
    <w:p w14:paraId="1BEC411E" w14:textId="220DBFCD" w:rsidR="00041B5E" w:rsidRPr="00041B5E" w:rsidRDefault="00041B5E" w:rsidP="00041B5E">
      <w:pPr>
        <w:jc w:val="center"/>
        <w:rPr>
          <w:rFonts w:ascii="Times New Roman" w:hAnsi="Times New Roman" w:cs="Times New Roman"/>
          <w:lang w:val="es-ES"/>
        </w:rPr>
      </w:pPr>
      <w:r w:rsidRPr="00041B5E">
        <w:rPr>
          <w:rFonts w:ascii="Times New Roman" w:hAnsi="Times New Roman" w:cs="Times New Roman"/>
          <w:b/>
          <w:bCs/>
          <w:lang w:val="es-ES"/>
        </w:rPr>
        <w:t>Fuente.</w:t>
      </w:r>
      <w:r w:rsidRPr="00041B5E">
        <w:rPr>
          <w:rFonts w:ascii="Times New Roman" w:hAnsi="Times New Roman" w:cs="Times New Roman"/>
          <w:lang w:val="es-ES"/>
        </w:rPr>
        <w:t xml:space="preserve">  Elaboración propia.</w:t>
      </w:r>
    </w:p>
    <w:p w14:paraId="5819A6D4" w14:textId="77777777" w:rsidR="00041B5E" w:rsidRDefault="00041B5E" w:rsidP="00041B5E">
      <w:pPr>
        <w:jc w:val="both"/>
        <w:rPr>
          <w:rFonts w:ascii="Times New Roman" w:hAnsi="Times New Roman" w:cs="Times New Roman"/>
          <w:lang w:val="es-ES"/>
        </w:rPr>
      </w:pPr>
    </w:p>
    <w:p w14:paraId="6140E9B9" w14:textId="518AE255" w:rsidR="00134C07" w:rsidRDefault="005B043D" w:rsidP="00041B5E">
      <w:pPr>
        <w:jc w:val="both"/>
        <w:rPr>
          <w:rFonts w:ascii="Times New Roman" w:hAnsi="Times New Roman" w:cs="Times New Roman"/>
          <w:lang w:val="es-ES"/>
        </w:rPr>
      </w:pPr>
      <w:r w:rsidRPr="00C903A8">
        <w:rPr>
          <w:rFonts w:ascii="Times New Roman" w:hAnsi="Times New Roman" w:cs="Times New Roman"/>
          <w:lang w:val="es-ES"/>
        </w:rPr>
        <w:t>Aunado a lo anterior, específicamente, la</w:t>
      </w:r>
      <w:r w:rsidR="00134C07" w:rsidRPr="00C903A8">
        <w:rPr>
          <w:rFonts w:ascii="Times New Roman" w:hAnsi="Times New Roman" w:cs="Times New Roman"/>
          <w:lang w:val="es-ES"/>
        </w:rPr>
        <w:t xml:space="preserve"> dificultad para cubrir los gastos </w:t>
      </w:r>
      <w:r w:rsidRPr="00C903A8">
        <w:rPr>
          <w:rFonts w:ascii="Times New Roman" w:hAnsi="Times New Roman" w:cs="Times New Roman"/>
          <w:lang w:val="es-ES"/>
        </w:rPr>
        <w:t xml:space="preserve">educativos </w:t>
      </w:r>
      <w:r w:rsidR="00134C07" w:rsidRPr="00C903A8">
        <w:rPr>
          <w:rFonts w:ascii="Times New Roman" w:hAnsi="Times New Roman" w:cs="Times New Roman"/>
          <w:lang w:val="es-ES"/>
        </w:rPr>
        <w:t xml:space="preserve">es </w:t>
      </w:r>
      <w:r w:rsidRPr="00C903A8">
        <w:rPr>
          <w:rFonts w:ascii="Times New Roman" w:hAnsi="Times New Roman" w:cs="Times New Roman"/>
          <w:lang w:val="es-ES"/>
        </w:rPr>
        <w:t>uno</w:t>
      </w:r>
      <w:r w:rsidR="00134C07" w:rsidRPr="00C903A8">
        <w:rPr>
          <w:rFonts w:ascii="Times New Roman" w:hAnsi="Times New Roman" w:cs="Times New Roman"/>
          <w:lang w:val="es-ES"/>
        </w:rPr>
        <w:t xml:space="preserve"> de los factores importantes </w:t>
      </w:r>
      <w:r w:rsidRPr="00C903A8">
        <w:rPr>
          <w:rFonts w:ascii="Times New Roman" w:hAnsi="Times New Roman" w:cs="Times New Roman"/>
          <w:lang w:val="es-ES"/>
        </w:rPr>
        <w:t>en el abandono universitario</w:t>
      </w:r>
      <w:r w:rsidR="00134C07" w:rsidRPr="00C903A8">
        <w:rPr>
          <w:rFonts w:ascii="Times New Roman" w:hAnsi="Times New Roman" w:cs="Times New Roman"/>
          <w:lang w:val="es-ES"/>
        </w:rPr>
        <w:t>. Esta dificultad, derivada de los problemas económicos y la desigualdad, es un factor creciente que enfrentan las familias de estudiantes con recursos limitados para pagar la matrícula, las cuotas, los útiles escolares, la alimentación y el transporte. De la población estudiantil analizada, según la Figura 5, más del 50 % de los estudiantes respondió tener dificultades para cubrir sus gastos universitarios. Esto conlleva una</w:t>
      </w:r>
      <w:r w:rsidRPr="00C903A8">
        <w:rPr>
          <w:rFonts w:ascii="Times New Roman" w:hAnsi="Times New Roman" w:cs="Times New Roman"/>
          <w:lang w:val="es-ES"/>
        </w:rPr>
        <w:t xml:space="preserve"> alta</w:t>
      </w:r>
      <w:r w:rsidR="00134C07" w:rsidRPr="00C903A8">
        <w:rPr>
          <w:rFonts w:ascii="Times New Roman" w:hAnsi="Times New Roman" w:cs="Times New Roman"/>
          <w:lang w:val="es-ES"/>
        </w:rPr>
        <w:t xml:space="preserve"> tasa de </w:t>
      </w:r>
      <w:r w:rsidRPr="00C903A8">
        <w:rPr>
          <w:rFonts w:ascii="Times New Roman" w:hAnsi="Times New Roman" w:cs="Times New Roman"/>
          <w:lang w:val="es-ES"/>
        </w:rPr>
        <w:t>abandono</w:t>
      </w:r>
      <w:r w:rsidR="00134C07" w:rsidRPr="00C903A8">
        <w:rPr>
          <w:rFonts w:ascii="Times New Roman" w:hAnsi="Times New Roman" w:cs="Times New Roman"/>
          <w:lang w:val="es-ES"/>
        </w:rPr>
        <w:t xml:space="preserve"> </w:t>
      </w:r>
      <w:r w:rsidRPr="00C903A8">
        <w:rPr>
          <w:rFonts w:ascii="Times New Roman" w:hAnsi="Times New Roman" w:cs="Times New Roman"/>
          <w:lang w:val="es-ES"/>
        </w:rPr>
        <w:t>que puede ser progresivo</w:t>
      </w:r>
      <w:r w:rsidR="00134C07" w:rsidRPr="00C903A8">
        <w:rPr>
          <w:rFonts w:ascii="Times New Roman" w:hAnsi="Times New Roman" w:cs="Times New Roman"/>
          <w:lang w:val="es-ES"/>
        </w:rPr>
        <w:t xml:space="preserve"> entre los encuestados por razones económicas</w:t>
      </w:r>
      <w:r w:rsidR="00D60F78" w:rsidRPr="00C903A8">
        <w:rPr>
          <w:rFonts w:ascii="Times New Roman" w:hAnsi="Times New Roman" w:cs="Times New Roman"/>
          <w:lang w:val="es-ES"/>
        </w:rPr>
        <w:t>.</w:t>
      </w:r>
    </w:p>
    <w:p w14:paraId="0B3E2FEC" w14:textId="77777777" w:rsidR="00041B5E" w:rsidRDefault="00041B5E" w:rsidP="00041B5E">
      <w:pPr>
        <w:jc w:val="both"/>
        <w:rPr>
          <w:rFonts w:ascii="Times New Roman" w:hAnsi="Times New Roman" w:cs="Times New Roman"/>
          <w:lang w:val="es-ES"/>
        </w:rPr>
      </w:pPr>
    </w:p>
    <w:p w14:paraId="6E545DBB" w14:textId="77777777" w:rsidR="00041B5E" w:rsidRDefault="00041B5E" w:rsidP="00041B5E">
      <w:pPr>
        <w:jc w:val="both"/>
        <w:rPr>
          <w:rFonts w:ascii="Times New Roman" w:hAnsi="Times New Roman" w:cs="Times New Roman"/>
          <w:lang w:val="es-ES"/>
        </w:rPr>
      </w:pPr>
    </w:p>
    <w:p w14:paraId="577E9625" w14:textId="77777777" w:rsidR="00041B5E" w:rsidRDefault="00041B5E" w:rsidP="00041B5E">
      <w:pPr>
        <w:jc w:val="both"/>
        <w:rPr>
          <w:rFonts w:ascii="Times New Roman" w:hAnsi="Times New Roman" w:cs="Times New Roman"/>
          <w:lang w:val="es-ES"/>
        </w:rPr>
      </w:pPr>
    </w:p>
    <w:p w14:paraId="40F0E445" w14:textId="77777777" w:rsidR="00041B5E" w:rsidRDefault="00041B5E" w:rsidP="00041B5E">
      <w:pPr>
        <w:jc w:val="both"/>
        <w:rPr>
          <w:rFonts w:ascii="Times New Roman" w:hAnsi="Times New Roman" w:cs="Times New Roman"/>
          <w:lang w:val="es-ES"/>
        </w:rPr>
      </w:pPr>
    </w:p>
    <w:p w14:paraId="2E319279" w14:textId="77777777" w:rsidR="00041B5E" w:rsidRPr="00C903A8" w:rsidRDefault="00041B5E" w:rsidP="00041B5E">
      <w:pPr>
        <w:keepLines/>
        <w:tabs>
          <w:tab w:val="left" w:pos="567"/>
        </w:tabs>
        <w:jc w:val="center"/>
        <w:rPr>
          <w:rFonts w:ascii="Times New Roman" w:hAnsi="Times New Roman"/>
          <w:lang w:val="es-ES"/>
        </w:rPr>
      </w:pPr>
      <w:r w:rsidRPr="00C903A8">
        <w:rPr>
          <w:rFonts w:ascii="Times New Roman" w:hAnsi="Times New Roman"/>
          <w:b/>
          <w:bCs/>
          <w:lang w:val="es-ES"/>
        </w:rPr>
        <w:t>Figura 5.</w:t>
      </w:r>
      <w:r w:rsidRPr="00C903A8">
        <w:rPr>
          <w:rFonts w:ascii="Times New Roman" w:hAnsi="Times New Roman"/>
          <w:lang w:val="es-ES"/>
        </w:rPr>
        <w:t xml:space="preserve"> Potencial abandono escolar por dificultades para cubrir los gastos universitarios.</w:t>
      </w:r>
    </w:p>
    <w:p w14:paraId="5A8151F2" w14:textId="77777777" w:rsidR="00041B5E" w:rsidRPr="00C903A8" w:rsidRDefault="00041B5E" w:rsidP="00041B5E">
      <w:pPr>
        <w:jc w:val="both"/>
        <w:rPr>
          <w:rFonts w:ascii="Times New Roman" w:hAnsi="Times New Roman" w:cs="Times New Roman"/>
          <w:lang w:val="es-ES"/>
        </w:rPr>
      </w:pPr>
    </w:p>
    <w:p w14:paraId="571831B1" w14:textId="77777777" w:rsidR="00134C07" w:rsidRPr="00C903A8" w:rsidRDefault="00134C07" w:rsidP="00C903A8">
      <w:pPr>
        <w:tabs>
          <w:tab w:val="left" w:pos="567"/>
        </w:tabs>
        <w:ind w:left="566"/>
        <w:jc w:val="center"/>
        <w:rPr>
          <w:rFonts w:ascii="Times New Roman" w:hAnsi="Times New Roman"/>
        </w:rPr>
      </w:pPr>
      <w:r w:rsidRPr="00C903A8">
        <w:rPr>
          <w:rFonts w:ascii="Times New Roman" w:hAnsi="Times New Roman"/>
          <w:noProof/>
        </w:rPr>
        <w:lastRenderedPageBreak/>
        <w:drawing>
          <wp:inline distT="114300" distB="114300" distL="114300" distR="114300" wp14:anchorId="21778576" wp14:editId="2DE8E1D3">
            <wp:extent cx="2456953" cy="1812290"/>
            <wp:effectExtent l="0" t="0" r="0" b="3810"/>
            <wp:docPr id="306876455" name="Imagen 6"/>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5"/>
                    <a:srcRect l="4240" b="5242"/>
                    <a:stretch/>
                  </pic:blipFill>
                  <pic:spPr bwMode="auto">
                    <a:xfrm>
                      <a:off x="0" y="0"/>
                      <a:ext cx="2459900" cy="1814464"/>
                    </a:xfrm>
                    <a:prstGeom prst="rect">
                      <a:avLst/>
                    </a:prstGeom>
                    <a:ln>
                      <a:noFill/>
                    </a:ln>
                    <a:extLst>
                      <a:ext uri="{53640926-AAD7-44D8-BBD7-CCE9431645EC}">
                        <a14:shadowObscured xmlns:a14="http://schemas.microsoft.com/office/drawing/2010/main"/>
                      </a:ext>
                    </a:extLst>
                  </pic:spPr>
                </pic:pic>
              </a:graphicData>
            </a:graphic>
          </wp:inline>
        </w:drawing>
      </w:r>
    </w:p>
    <w:p w14:paraId="5704B500" w14:textId="77777777" w:rsidR="00041B5E" w:rsidRDefault="00041B5E" w:rsidP="00041B5E">
      <w:pPr>
        <w:jc w:val="both"/>
        <w:rPr>
          <w:rFonts w:ascii="Times New Roman" w:hAnsi="Times New Roman" w:cs="Times New Roman"/>
          <w:lang w:val="es-ES"/>
        </w:rPr>
      </w:pPr>
    </w:p>
    <w:p w14:paraId="31BF54FB" w14:textId="24DED5DE" w:rsidR="00041B5E" w:rsidRPr="00041B5E" w:rsidRDefault="00041B5E" w:rsidP="00041B5E">
      <w:pPr>
        <w:jc w:val="center"/>
        <w:rPr>
          <w:rFonts w:ascii="Times New Roman" w:hAnsi="Times New Roman" w:cs="Times New Roman"/>
          <w:lang w:val="es-ES"/>
        </w:rPr>
      </w:pPr>
      <w:r w:rsidRPr="00041B5E">
        <w:rPr>
          <w:rFonts w:ascii="Times New Roman" w:hAnsi="Times New Roman" w:cs="Times New Roman"/>
          <w:b/>
          <w:bCs/>
          <w:lang w:val="es-ES"/>
        </w:rPr>
        <w:t>Fuente.</w:t>
      </w:r>
      <w:r w:rsidRPr="00041B5E">
        <w:rPr>
          <w:rFonts w:ascii="Times New Roman" w:hAnsi="Times New Roman" w:cs="Times New Roman"/>
          <w:lang w:val="es-ES"/>
        </w:rPr>
        <w:t xml:space="preserve">  Elaboración propia.</w:t>
      </w:r>
    </w:p>
    <w:p w14:paraId="2FB0E7F4" w14:textId="77777777" w:rsidR="00041B5E" w:rsidRDefault="00041B5E" w:rsidP="00041B5E">
      <w:pPr>
        <w:jc w:val="center"/>
        <w:rPr>
          <w:rFonts w:ascii="Times New Roman" w:hAnsi="Times New Roman" w:cs="Times New Roman"/>
          <w:lang w:val="es-ES"/>
        </w:rPr>
      </w:pPr>
    </w:p>
    <w:p w14:paraId="6DC9EC09" w14:textId="6AA0B151" w:rsidR="005B043D" w:rsidRPr="00C903A8" w:rsidRDefault="005B043D" w:rsidP="00041B5E">
      <w:pPr>
        <w:jc w:val="both"/>
        <w:rPr>
          <w:rFonts w:ascii="Times New Roman" w:hAnsi="Times New Roman" w:cs="Times New Roman"/>
          <w:lang w:val="es-ES"/>
        </w:rPr>
      </w:pPr>
      <w:r w:rsidRPr="00C903A8">
        <w:rPr>
          <w:rFonts w:ascii="Times New Roman" w:hAnsi="Times New Roman" w:cs="Times New Roman"/>
          <w:lang w:val="es-ES"/>
        </w:rPr>
        <w:t>Sin duda, la situación económica de un estudiante aumenta el riesgo de no completar los estudios universitarios. Esto limita sus opciones laborales y aumenta el riesgo de no progresar económicamente. Los jóvenes sin educación universitaria tienen menos probabilidades de obtener un empleo bien remunerado y aumentan la probabilidad de desempleo.</w:t>
      </w:r>
    </w:p>
    <w:p w14:paraId="74EB36A0" w14:textId="77777777" w:rsidR="00041B5E" w:rsidRDefault="00041B5E" w:rsidP="00041B5E">
      <w:pPr>
        <w:jc w:val="both"/>
        <w:rPr>
          <w:rFonts w:ascii="Times New Roman" w:hAnsi="Times New Roman" w:cs="Times New Roman"/>
          <w:lang w:val="es-ES"/>
        </w:rPr>
      </w:pPr>
    </w:p>
    <w:p w14:paraId="09BA9CA6" w14:textId="142BF1E2" w:rsidR="00134C07" w:rsidRDefault="00587557" w:rsidP="00041B5E">
      <w:pPr>
        <w:jc w:val="both"/>
        <w:rPr>
          <w:rFonts w:ascii="Times New Roman" w:hAnsi="Times New Roman" w:cs="Times New Roman"/>
          <w:lang w:val="es-ES"/>
        </w:rPr>
      </w:pPr>
      <w:r w:rsidRPr="00C903A8">
        <w:rPr>
          <w:rFonts w:ascii="Times New Roman" w:hAnsi="Times New Roman" w:cs="Times New Roman"/>
          <w:lang w:val="es-ES"/>
        </w:rPr>
        <w:t>Por otro lado, como parte de la validación, se observó que la clasificación obtenida por el bosque aleatorio presentó una mejor precisión, con un 82.16 %, en comparación con la clasificación obtenida por el árbol de decisión</w:t>
      </w:r>
      <w:r w:rsidR="003E2609" w:rsidRPr="00C903A8">
        <w:rPr>
          <w:rFonts w:ascii="Times New Roman" w:hAnsi="Times New Roman" w:cs="Times New Roman"/>
          <w:lang w:val="es-ES"/>
        </w:rPr>
        <w:t>,</w:t>
      </w:r>
      <w:r w:rsidRPr="00C903A8">
        <w:rPr>
          <w:rFonts w:ascii="Times New Roman" w:hAnsi="Times New Roman" w:cs="Times New Roman"/>
          <w:lang w:val="es-ES"/>
        </w:rPr>
        <w:t xml:space="preserve"> con un 79.55 % de precisión. A su vez, utilizando la curva ROC (Receiver </w:t>
      </w:r>
      <w:proofErr w:type="spellStart"/>
      <w:r w:rsidRPr="00C903A8">
        <w:rPr>
          <w:rFonts w:ascii="Times New Roman" w:hAnsi="Times New Roman" w:cs="Times New Roman"/>
          <w:lang w:val="es-ES"/>
        </w:rPr>
        <w:t>Operating</w:t>
      </w:r>
      <w:proofErr w:type="spellEnd"/>
      <w:r w:rsidRPr="00C903A8">
        <w:rPr>
          <w:rFonts w:ascii="Times New Roman" w:hAnsi="Times New Roman" w:cs="Times New Roman"/>
          <w:lang w:val="es-ES"/>
        </w:rPr>
        <w:t xml:space="preserve"> </w:t>
      </w:r>
      <w:proofErr w:type="spellStart"/>
      <w:r w:rsidRPr="00C903A8">
        <w:rPr>
          <w:rFonts w:ascii="Times New Roman" w:hAnsi="Times New Roman" w:cs="Times New Roman"/>
          <w:lang w:val="es-ES"/>
        </w:rPr>
        <w:t>Characteristic</w:t>
      </w:r>
      <w:proofErr w:type="spellEnd"/>
      <w:r w:rsidRPr="00C903A8">
        <w:rPr>
          <w:rFonts w:ascii="Times New Roman" w:hAnsi="Times New Roman" w:cs="Times New Roman"/>
          <w:lang w:val="es-ES"/>
        </w:rPr>
        <w:t xml:space="preserve">), que es una medida de rendimiento para problemas de clasificación que utilizan una curva de probabilidad —AUC (Area </w:t>
      </w:r>
      <w:proofErr w:type="spellStart"/>
      <w:r w:rsidRPr="00C903A8">
        <w:rPr>
          <w:rFonts w:ascii="Times New Roman" w:hAnsi="Times New Roman" w:cs="Times New Roman"/>
          <w:lang w:val="es-ES"/>
        </w:rPr>
        <w:t>Under</w:t>
      </w:r>
      <w:proofErr w:type="spellEnd"/>
      <w:r w:rsidRPr="00C903A8">
        <w:rPr>
          <w:rFonts w:ascii="Times New Roman" w:hAnsi="Times New Roman" w:cs="Times New Roman"/>
          <w:lang w:val="es-ES"/>
        </w:rPr>
        <w:t xml:space="preserve"> </w:t>
      </w:r>
      <w:proofErr w:type="spellStart"/>
      <w:r w:rsidRPr="00C903A8">
        <w:rPr>
          <w:rFonts w:ascii="Times New Roman" w:hAnsi="Times New Roman" w:cs="Times New Roman"/>
          <w:lang w:val="es-ES"/>
        </w:rPr>
        <w:t>the</w:t>
      </w:r>
      <w:proofErr w:type="spellEnd"/>
      <w:r w:rsidRPr="00C903A8">
        <w:rPr>
          <w:rFonts w:ascii="Times New Roman" w:hAnsi="Times New Roman" w:cs="Times New Roman"/>
          <w:lang w:val="es-ES"/>
        </w:rPr>
        <w:t xml:space="preserve"> Curve)—, se observó que, para la separación de las clases ‘No’ (el estudiante no planea abandonar la universidad) y ‘Sí’ (el estudiante planea abandonar la universidad), el bosque aleatorio obtuvo un mejor rendimiento, con un 89 % de separabilidad de clases. Mientras que el árbol de decisión obtuvo un 82 % (Figura 6). Esto significa que el modelo obtenido por </w:t>
      </w:r>
      <w:r w:rsidR="003E2609" w:rsidRPr="00C903A8">
        <w:rPr>
          <w:rFonts w:ascii="Times New Roman" w:hAnsi="Times New Roman" w:cs="Times New Roman"/>
          <w:lang w:val="es-ES"/>
        </w:rPr>
        <w:t>el</w:t>
      </w:r>
      <w:r w:rsidRPr="00C903A8">
        <w:rPr>
          <w:rFonts w:ascii="Times New Roman" w:hAnsi="Times New Roman" w:cs="Times New Roman"/>
          <w:lang w:val="es-ES"/>
        </w:rPr>
        <w:t xml:space="preserve"> bosque aleatorio, al tener un AUC más alto, </w:t>
      </w:r>
      <w:r w:rsidR="00BF488A" w:rsidRPr="00C903A8">
        <w:rPr>
          <w:rFonts w:ascii="Times New Roman" w:hAnsi="Times New Roman" w:cs="Times New Roman"/>
          <w:lang w:val="es-ES"/>
        </w:rPr>
        <w:t>presenta una mayor capacidad</w:t>
      </w:r>
      <w:r w:rsidRPr="00C903A8">
        <w:rPr>
          <w:rFonts w:ascii="Times New Roman" w:hAnsi="Times New Roman" w:cs="Times New Roman"/>
          <w:lang w:val="es-ES"/>
        </w:rPr>
        <w:t xml:space="preserve"> de distinguir mejor entre clases positivas y negativas, es decir, </w:t>
      </w:r>
      <w:r w:rsidR="00BF488A" w:rsidRPr="00C903A8">
        <w:rPr>
          <w:rFonts w:ascii="Times New Roman" w:hAnsi="Times New Roman" w:cs="Times New Roman"/>
          <w:lang w:val="es-ES"/>
        </w:rPr>
        <w:t>se c</w:t>
      </w:r>
      <w:r w:rsidRPr="00C903A8">
        <w:rPr>
          <w:rFonts w:ascii="Times New Roman" w:hAnsi="Times New Roman" w:cs="Times New Roman"/>
          <w:lang w:val="es-ES"/>
        </w:rPr>
        <w:t>lasifica</w:t>
      </w:r>
      <w:r w:rsidR="00BF488A" w:rsidRPr="00C903A8">
        <w:rPr>
          <w:rFonts w:ascii="Times New Roman" w:hAnsi="Times New Roman" w:cs="Times New Roman"/>
          <w:lang w:val="es-ES"/>
        </w:rPr>
        <w:t>ría</w:t>
      </w:r>
      <w:r w:rsidRPr="00C903A8">
        <w:rPr>
          <w:rFonts w:ascii="Times New Roman" w:hAnsi="Times New Roman" w:cs="Times New Roman"/>
          <w:lang w:val="es-ES"/>
        </w:rPr>
        <w:t xml:space="preserve"> mejor los nuevos casos de estudiantes con o sin intención de abandonar la universidad.</w:t>
      </w:r>
    </w:p>
    <w:p w14:paraId="0E718BC7" w14:textId="77777777" w:rsidR="00041B5E" w:rsidRPr="00C903A8" w:rsidRDefault="00041B5E" w:rsidP="00C903A8">
      <w:pPr>
        <w:ind w:firstLine="720"/>
        <w:jc w:val="both"/>
        <w:rPr>
          <w:rFonts w:ascii="Times New Roman" w:hAnsi="Times New Roman" w:cs="Times New Roman"/>
          <w:lang w:val="es-ES"/>
        </w:rPr>
      </w:pPr>
    </w:p>
    <w:p w14:paraId="2371FF0C" w14:textId="39879997" w:rsidR="00BF488A" w:rsidRPr="00C903A8" w:rsidRDefault="00041B5E" w:rsidP="00C903A8">
      <w:pPr>
        <w:ind w:firstLine="720"/>
        <w:jc w:val="both"/>
        <w:rPr>
          <w:rFonts w:ascii="Times New Roman" w:hAnsi="Times New Roman" w:cs="Times New Roman"/>
          <w:lang w:val="es-ES"/>
        </w:rPr>
      </w:pPr>
      <w:r w:rsidRPr="00C903A8">
        <w:rPr>
          <w:rFonts w:ascii="Times New Roman" w:hAnsi="Times New Roman"/>
          <w:b/>
          <w:bCs/>
          <w:lang w:val="es-ES"/>
        </w:rPr>
        <w:t>Figura 6.</w:t>
      </w:r>
      <w:r w:rsidRPr="00C903A8">
        <w:rPr>
          <w:rFonts w:ascii="Times New Roman" w:hAnsi="Times New Roman"/>
          <w:lang w:val="es-ES"/>
        </w:rPr>
        <w:t xml:space="preserve"> Curva de desempeño para la clasificación del abandono universitario.</w:t>
      </w:r>
    </w:p>
    <w:p w14:paraId="45602A9D" w14:textId="77777777" w:rsidR="00587557" w:rsidRPr="00C903A8" w:rsidRDefault="00587557" w:rsidP="00C903A8">
      <w:pPr>
        <w:jc w:val="center"/>
        <w:rPr>
          <w:rFonts w:ascii="Times New Roman" w:hAnsi="Times New Roman"/>
        </w:rPr>
      </w:pPr>
      <w:r w:rsidRPr="00C903A8">
        <w:rPr>
          <w:rFonts w:ascii="Times New Roman" w:hAnsi="Times New Roman"/>
          <w:noProof/>
        </w:rPr>
        <w:drawing>
          <wp:inline distT="114300" distB="114300" distL="114300" distR="114300" wp14:anchorId="2BFCF37A" wp14:editId="708327C9">
            <wp:extent cx="5829300" cy="2038350"/>
            <wp:effectExtent l="0" t="0" r="0" b="0"/>
            <wp:docPr id="1703189578" name="Imagen 7"/>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920777" cy="2070337"/>
                    </a:xfrm>
                    <a:prstGeom prst="rect">
                      <a:avLst/>
                    </a:prstGeom>
                    <a:ln/>
                  </pic:spPr>
                </pic:pic>
              </a:graphicData>
            </a:graphic>
          </wp:inline>
        </w:drawing>
      </w:r>
    </w:p>
    <w:p w14:paraId="154FA86C" w14:textId="319B7A05" w:rsidR="00587557" w:rsidRPr="002C106F" w:rsidRDefault="002C106F" w:rsidP="00C903A8">
      <w:pPr>
        <w:keepLines/>
        <w:tabs>
          <w:tab w:val="left" w:pos="1"/>
        </w:tabs>
        <w:jc w:val="center"/>
        <w:rPr>
          <w:rFonts w:ascii="Times New Roman" w:hAnsi="Times New Roman" w:cs="Times New Roman"/>
          <w:b/>
          <w:lang w:val="es-ES"/>
        </w:rPr>
      </w:pPr>
      <w:r w:rsidRPr="002C106F">
        <w:rPr>
          <w:rFonts w:ascii="Times New Roman" w:hAnsi="Times New Roman" w:cs="Times New Roman"/>
          <w:b/>
          <w:bCs/>
          <w:lang w:val="es-ES"/>
        </w:rPr>
        <w:t>Fuente.</w:t>
      </w:r>
      <w:r w:rsidRPr="002C106F">
        <w:rPr>
          <w:rFonts w:ascii="Times New Roman" w:hAnsi="Times New Roman" w:cs="Times New Roman"/>
          <w:lang w:val="es-ES"/>
        </w:rPr>
        <w:t xml:space="preserve">  Elaboración propia.</w:t>
      </w:r>
    </w:p>
    <w:p w14:paraId="17C0346A" w14:textId="6FD94BFA" w:rsidR="00587557" w:rsidRPr="00C903A8" w:rsidRDefault="00BF488A" w:rsidP="002C106F">
      <w:pPr>
        <w:jc w:val="both"/>
        <w:rPr>
          <w:rFonts w:ascii="Times New Roman" w:hAnsi="Times New Roman" w:cs="Times New Roman"/>
          <w:lang w:val="es-ES"/>
        </w:rPr>
      </w:pPr>
      <w:r w:rsidRPr="00C903A8">
        <w:rPr>
          <w:rFonts w:ascii="Times New Roman" w:hAnsi="Times New Roman" w:cs="Times New Roman"/>
          <w:lang w:val="es-ES"/>
        </w:rPr>
        <w:t>Evidentemente</w:t>
      </w:r>
      <w:r w:rsidR="00587557" w:rsidRPr="00C903A8">
        <w:rPr>
          <w:rFonts w:ascii="Times New Roman" w:hAnsi="Times New Roman" w:cs="Times New Roman"/>
          <w:lang w:val="es-ES"/>
        </w:rPr>
        <w:t xml:space="preserve">, las circunstancias económicas son un factor importante que contribuye a las tasas de </w:t>
      </w:r>
      <w:r w:rsidRPr="00C903A8">
        <w:rPr>
          <w:rFonts w:ascii="Times New Roman" w:hAnsi="Times New Roman" w:cs="Times New Roman"/>
          <w:lang w:val="es-ES"/>
        </w:rPr>
        <w:t>abandono universitario</w:t>
      </w:r>
      <w:r w:rsidR="00587557" w:rsidRPr="00C903A8">
        <w:rPr>
          <w:rFonts w:ascii="Times New Roman" w:hAnsi="Times New Roman" w:cs="Times New Roman"/>
          <w:lang w:val="es-ES"/>
        </w:rPr>
        <w:t xml:space="preserve">. La falta de recursos financieros, como la necesidad de trabajar o la dificultad </w:t>
      </w:r>
      <w:r w:rsidR="00587557" w:rsidRPr="00C903A8">
        <w:rPr>
          <w:rFonts w:ascii="Times New Roman" w:hAnsi="Times New Roman" w:cs="Times New Roman"/>
          <w:lang w:val="es-ES"/>
        </w:rPr>
        <w:lastRenderedPageBreak/>
        <w:t xml:space="preserve">para pagar la matrícula, puede obligar a los estudiantes a abandonar sus estudios universitarios. Los estudiantes con bajos recursos económicos pueden ser más propensos a faltar a clases por razones económicas, lo que afecta su rendimiento y aumenta la probabilidad de </w:t>
      </w:r>
      <w:r w:rsidRPr="00C903A8">
        <w:rPr>
          <w:rFonts w:ascii="Times New Roman" w:hAnsi="Times New Roman" w:cs="Times New Roman"/>
          <w:lang w:val="es-ES"/>
        </w:rPr>
        <w:t>abandono</w:t>
      </w:r>
      <w:r w:rsidR="00587557" w:rsidRPr="00C903A8">
        <w:rPr>
          <w:rFonts w:ascii="Times New Roman" w:hAnsi="Times New Roman" w:cs="Times New Roman"/>
          <w:lang w:val="es-ES"/>
        </w:rPr>
        <w:t>. Esta situación tiene un impacto significativo en la sociedad, resultando en una reducción del capital humano, una disminución de la productividad, una propensión a la delincuencia, el consumo de drogas y alcohol, y una menor esperanza de vida.</w:t>
      </w:r>
    </w:p>
    <w:p w14:paraId="219E186D" w14:textId="77777777" w:rsidR="002C106F" w:rsidRDefault="002C106F" w:rsidP="002C106F">
      <w:pPr>
        <w:jc w:val="both"/>
        <w:rPr>
          <w:rFonts w:ascii="Times New Roman" w:hAnsi="Times New Roman" w:cs="Times New Roman"/>
          <w:lang w:val="es-ES"/>
        </w:rPr>
      </w:pPr>
    </w:p>
    <w:p w14:paraId="1C2290A6" w14:textId="6973FC2C" w:rsidR="00134C07" w:rsidRPr="00C903A8" w:rsidRDefault="00587557" w:rsidP="002C106F">
      <w:pPr>
        <w:jc w:val="both"/>
        <w:rPr>
          <w:rFonts w:ascii="Times New Roman" w:hAnsi="Times New Roman" w:cs="Times New Roman"/>
          <w:lang w:val="es-ES"/>
        </w:rPr>
      </w:pPr>
      <w:r w:rsidRPr="00C903A8">
        <w:rPr>
          <w:rFonts w:ascii="Times New Roman" w:hAnsi="Times New Roman" w:cs="Times New Roman"/>
          <w:lang w:val="es-ES"/>
        </w:rPr>
        <w:t>También es importante señalar que la pandemia de C</w:t>
      </w:r>
      <w:r w:rsidR="003E2609" w:rsidRPr="00C903A8">
        <w:rPr>
          <w:rFonts w:ascii="Times New Roman" w:hAnsi="Times New Roman" w:cs="Times New Roman"/>
          <w:lang w:val="es-ES"/>
        </w:rPr>
        <w:t>OVID</w:t>
      </w:r>
      <w:r w:rsidRPr="00C903A8">
        <w:rPr>
          <w:rFonts w:ascii="Times New Roman" w:hAnsi="Times New Roman" w:cs="Times New Roman"/>
          <w:lang w:val="es-ES"/>
        </w:rPr>
        <w:t xml:space="preserve">-19 exacerbó aún más los problemas económicos y familiares, lo que resultó en </w:t>
      </w:r>
      <w:r w:rsidR="00BF488A" w:rsidRPr="00C903A8">
        <w:rPr>
          <w:rFonts w:ascii="Times New Roman" w:hAnsi="Times New Roman" w:cs="Times New Roman"/>
          <w:lang w:val="es-ES"/>
        </w:rPr>
        <w:t>abandono</w:t>
      </w:r>
      <w:r w:rsidRPr="00C903A8">
        <w:rPr>
          <w:rFonts w:ascii="Times New Roman" w:hAnsi="Times New Roman" w:cs="Times New Roman"/>
          <w:lang w:val="es-ES"/>
        </w:rPr>
        <w:t>, ya que muchos estudiantes se vieron obligados a trabajar, y continúan haciéndolo hasta la fecha, para mantener a sus familias.</w:t>
      </w:r>
    </w:p>
    <w:p w14:paraId="3BE18E53" w14:textId="77777777" w:rsidR="00F76F30" w:rsidRPr="00C903A8" w:rsidRDefault="00F76F30" w:rsidP="00C903A8">
      <w:pPr>
        <w:ind w:firstLine="720"/>
        <w:jc w:val="center"/>
        <w:rPr>
          <w:rFonts w:ascii="Times New Roman" w:hAnsi="Times New Roman" w:cs="Times New Roman"/>
          <w:lang w:val="es-ES"/>
        </w:rPr>
      </w:pPr>
    </w:p>
    <w:p w14:paraId="42B7043B" w14:textId="32072105" w:rsidR="00587557" w:rsidRPr="002C106F" w:rsidRDefault="00587557" w:rsidP="00C903A8">
      <w:pPr>
        <w:jc w:val="center"/>
        <w:rPr>
          <w:rFonts w:ascii="Times New Roman" w:hAnsi="Times New Roman" w:cs="Times New Roman"/>
          <w:b/>
          <w:bCs/>
          <w:lang w:val="es-ES"/>
        </w:rPr>
      </w:pPr>
      <w:r w:rsidRPr="002C106F">
        <w:rPr>
          <w:rFonts w:ascii="Times New Roman" w:hAnsi="Times New Roman" w:cs="Times New Roman"/>
          <w:b/>
          <w:bCs/>
          <w:lang w:val="es-ES"/>
        </w:rPr>
        <w:t>Conclusiones</w:t>
      </w:r>
    </w:p>
    <w:p w14:paraId="1BD47F74" w14:textId="77777777" w:rsidR="002C106F" w:rsidRDefault="002C106F" w:rsidP="002C106F">
      <w:pPr>
        <w:jc w:val="both"/>
        <w:rPr>
          <w:rFonts w:ascii="Times New Roman" w:hAnsi="Times New Roman" w:cs="Times New Roman"/>
          <w:lang w:val="es-ES_tradnl"/>
        </w:rPr>
      </w:pPr>
    </w:p>
    <w:p w14:paraId="08B447E0" w14:textId="696D2941" w:rsidR="00587557" w:rsidRPr="00C903A8" w:rsidRDefault="00587557" w:rsidP="002C106F">
      <w:pPr>
        <w:jc w:val="both"/>
        <w:rPr>
          <w:rFonts w:ascii="Times New Roman" w:hAnsi="Times New Roman" w:cs="Times New Roman"/>
          <w:lang w:val="es-ES_tradnl"/>
        </w:rPr>
      </w:pPr>
      <w:r w:rsidRPr="00C903A8">
        <w:rPr>
          <w:rFonts w:ascii="Times New Roman" w:hAnsi="Times New Roman" w:cs="Times New Roman"/>
          <w:lang w:val="es-ES_tradnl"/>
        </w:rPr>
        <w:t>En México, una de las principales causas de</w:t>
      </w:r>
      <w:r w:rsidR="00F001B0" w:rsidRPr="00C903A8">
        <w:rPr>
          <w:rFonts w:ascii="Times New Roman" w:hAnsi="Times New Roman" w:cs="Times New Roman"/>
          <w:lang w:val="es-ES_tradnl"/>
        </w:rPr>
        <w:t xml:space="preserve">l </w:t>
      </w:r>
      <w:r w:rsidR="00F001B0" w:rsidRPr="00C903A8">
        <w:rPr>
          <w:rFonts w:ascii="Times New Roman" w:hAnsi="Times New Roman" w:cs="Times New Roman"/>
          <w:lang w:val="es-ES"/>
        </w:rPr>
        <w:t xml:space="preserve">abandono </w:t>
      </w:r>
      <w:r w:rsidRPr="00C903A8">
        <w:rPr>
          <w:rFonts w:ascii="Times New Roman" w:hAnsi="Times New Roman" w:cs="Times New Roman"/>
          <w:lang w:val="es-ES"/>
        </w:rPr>
        <w:t>universitari</w:t>
      </w:r>
      <w:r w:rsidR="00F001B0" w:rsidRPr="00C903A8">
        <w:rPr>
          <w:rFonts w:ascii="Times New Roman" w:hAnsi="Times New Roman" w:cs="Times New Roman"/>
          <w:lang w:val="es-ES"/>
        </w:rPr>
        <w:t>o</w:t>
      </w:r>
      <w:r w:rsidRPr="00C903A8">
        <w:rPr>
          <w:rFonts w:ascii="Times New Roman" w:hAnsi="Times New Roman" w:cs="Times New Roman"/>
          <w:lang w:val="es-ES_tradnl"/>
        </w:rPr>
        <w:t xml:space="preserve"> son las circunstancias económicas. Muchos estudiantes deben trabajar para mantenerse a sí mismos o a sus familias, lo que afecta su rendimiento académico. Si bien existen universidades públicas, los costos indirectos como el transporte, la alimentación, el alquiler y los útiles escolares representan una carga financiera significativa. Además, la falta o insuficiencia de becas también limita las oportunidades para continuar sus estudios, especialmente en zonas rurales o marginadas, donde mudarse a otra ciudad para estudiar implica mayores gastos. Además, el estrés económico afecta la salud mental de los estudiantes, causando ansiedad y desmotivación.</w:t>
      </w:r>
    </w:p>
    <w:p w14:paraId="69187394" w14:textId="77777777" w:rsidR="002C106F" w:rsidRDefault="002C106F" w:rsidP="002C106F">
      <w:pPr>
        <w:jc w:val="both"/>
        <w:rPr>
          <w:rFonts w:ascii="Times New Roman" w:hAnsi="Times New Roman" w:cs="Times New Roman"/>
          <w:lang w:val="es-ES"/>
        </w:rPr>
      </w:pPr>
    </w:p>
    <w:p w14:paraId="3D78AD7C" w14:textId="422A3AA4" w:rsidR="00587557" w:rsidRPr="00C903A8" w:rsidRDefault="00F001B0" w:rsidP="002C106F">
      <w:pPr>
        <w:jc w:val="both"/>
        <w:rPr>
          <w:rFonts w:ascii="Times New Roman" w:hAnsi="Times New Roman" w:cs="Times New Roman"/>
          <w:lang w:val="es-ES"/>
        </w:rPr>
      </w:pPr>
      <w:r w:rsidRPr="00C903A8">
        <w:rPr>
          <w:rFonts w:ascii="Times New Roman" w:hAnsi="Times New Roman" w:cs="Times New Roman"/>
          <w:lang w:val="es-ES"/>
        </w:rPr>
        <w:t xml:space="preserve">El abandono universitario </w:t>
      </w:r>
      <w:r w:rsidR="00587557" w:rsidRPr="00C903A8">
        <w:rPr>
          <w:rFonts w:ascii="Times New Roman" w:hAnsi="Times New Roman" w:cs="Times New Roman"/>
          <w:lang w:val="es-ES"/>
        </w:rPr>
        <w:t xml:space="preserve">puede ocurrir por razones sociales y académicas, </w:t>
      </w:r>
      <w:r w:rsidR="00580494" w:rsidRPr="00C903A8">
        <w:rPr>
          <w:rFonts w:ascii="Times New Roman" w:hAnsi="Times New Roman" w:cs="Times New Roman"/>
          <w:lang w:val="es-ES"/>
        </w:rPr>
        <w:t>pero,</w:t>
      </w:r>
      <w:r w:rsidR="00587557" w:rsidRPr="00C903A8">
        <w:rPr>
          <w:rFonts w:ascii="Times New Roman" w:hAnsi="Times New Roman" w:cs="Times New Roman"/>
          <w:lang w:val="es-ES"/>
        </w:rPr>
        <w:t xml:space="preserve"> sobre todo, por la falta de capacidad para prevenirla. La sociedad tiende a considerarla un problema grave, pero se desconoce la magnitud y la realidad del problema, que trasciende la percepción de los padres. </w:t>
      </w:r>
      <w:r w:rsidR="003561A7" w:rsidRPr="00C903A8">
        <w:rPr>
          <w:rFonts w:ascii="Times New Roman" w:hAnsi="Times New Roman" w:cs="Times New Roman"/>
          <w:lang w:val="es-ES"/>
        </w:rPr>
        <w:t xml:space="preserve">El abandono universitario </w:t>
      </w:r>
      <w:r w:rsidR="00587557" w:rsidRPr="00C903A8">
        <w:rPr>
          <w:rFonts w:ascii="Times New Roman" w:hAnsi="Times New Roman" w:cs="Times New Roman"/>
          <w:lang w:val="es-ES"/>
        </w:rPr>
        <w:t>también tiene graves consecuencias para la sociedad, ya que implica la pérdida de trabajadores potencialmente productivos, la pérdida de los ingresos y la recaudación fiscal que habrían generado, y mayores costos asociados con la atención médica y los servicios sociales.</w:t>
      </w:r>
    </w:p>
    <w:p w14:paraId="08823C2A" w14:textId="77777777" w:rsidR="002C106F" w:rsidRDefault="002C106F" w:rsidP="002C106F">
      <w:pPr>
        <w:jc w:val="both"/>
        <w:rPr>
          <w:rFonts w:ascii="Times New Roman" w:hAnsi="Times New Roman" w:cs="Times New Roman"/>
          <w:lang w:val="es-ES"/>
        </w:rPr>
      </w:pPr>
    </w:p>
    <w:p w14:paraId="59A43813" w14:textId="6A16D1F9" w:rsidR="00587557" w:rsidRPr="00C903A8" w:rsidRDefault="00587557" w:rsidP="002C106F">
      <w:pPr>
        <w:jc w:val="both"/>
        <w:rPr>
          <w:rFonts w:ascii="Times New Roman" w:hAnsi="Times New Roman" w:cs="Times New Roman"/>
          <w:lang w:val="es-ES"/>
        </w:rPr>
      </w:pPr>
      <w:r w:rsidRPr="00C903A8">
        <w:rPr>
          <w:rFonts w:ascii="Times New Roman" w:hAnsi="Times New Roman" w:cs="Times New Roman"/>
          <w:lang w:val="es-ES"/>
        </w:rPr>
        <w:t xml:space="preserve">Recopilar datos fiables sobre las tasas de abandono universitario es un reto, ya que permite analizar los factores de riesgo altamente correlacionados con la no finalización de los estudios. Para esta investigación, estos datos se recopilaron mediante intervenciones directas con estudiantes universitarios mediante encuestas específicas. Sin embargo, es importante destacar que las tasas de abandono </w:t>
      </w:r>
      <w:r w:rsidR="003561A7" w:rsidRPr="00C903A8">
        <w:rPr>
          <w:rFonts w:ascii="Times New Roman" w:hAnsi="Times New Roman" w:cs="Times New Roman"/>
          <w:lang w:val="es-ES"/>
        </w:rPr>
        <w:t>universitario</w:t>
      </w:r>
      <w:r w:rsidRPr="00C903A8">
        <w:rPr>
          <w:rFonts w:ascii="Times New Roman" w:hAnsi="Times New Roman" w:cs="Times New Roman"/>
          <w:lang w:val="es-ES"/>
        </w:rPr>
        <w:t xml:space="preserve">, cuando se miden, solo presentan una parte del panorama: </w:t>
      </w:r>
      <w:r w:rsidR="003561A7" w:rsidRPr="00C903A8">
        <w:rPr>
          <w:rFonts w:ascii="Times New Roman" w:hAnsi="Times New Roman" w:cs="Times New Roman"/>
          <w:lang w:val="es-ES"/>
        </w:rPr>
        <w:t>el abandono</w:t>
      </w:r>
      <w:r w:rsidRPr="00C903A8">
        <w:rPr>
          <w:rFonts w:ascii="Times New Roman" w:hAnsi="Times New Roman" w:cs="Times New Roman"/>
          <w:lang w:val="es-ES"/>
        </w:rPr>
        <w:t xml:space="preserve"> como condición o resultado educativo. Para comprender por qué se produce, es fundamental considerar</w:t>
      </w:r>
      <w:r w:rsidR="003561A7" w:rsidRPr="00C903A8">
        <w:rPr>
          <w:rFonts w:ascii="Times New Roman" w:hAnsi="Times New Roman" w:cs="Times New Roman"/>
          <w:lang w:val="es-ES"/>
        </w:rPr>
        <w:t xml:space="preserve"> a este</w:t>
      </w:r>
      <w:r w:rsidRPr="00C903A8">
        <w:rPr>
          <w:rFonts w:ascii="Times New Roman" w:hAnsi="Times New Roman" w:cs="Times New Roman"/>
          <w:lang w:val="es-ES"/>
        </w:rPr>
        <w:t xml:space="preserve"> como un proceso acumulativo de desvinculación que se produce a lo largo del tiempo.</w:t>
      </w:r>
    </w:p>
    <w:p w14:paraId="5C3375C0" w14:textId="77777777" w:rsidR="002C106F" w:rsidRDefault="002C106F" w:rsidP="002C106F">
      <w:pPr>
        <w:jc w:val="both"/>
        <w:rPr>
          <w:rFonts w:ascii="Times New Roman" w:hAnsi="Times New Roman" w:cs="Times New Roman"/>
          <w:lang w:val="es-ES"/>
        </w:rPr>
      </w:pPr>
    </w:p>
    <w:p w14:paraId="1ABEE041" w14:textId="074AD0A8" w:rsidR="00587557" w:rsidRPr="00C903A8" w:rsidRDefault="00587557" w:rsidP="002C106F">
      <w:pPr>
        <w:jc w:val="both"/>
        <w:rPr>
          <w:rFonts w:ascii="Times New Roman" w:hAnsi="Times New Roman" w:cs="Times New Roman"/>
          <w:lang w:val="es-ES"/>
        </w:rPr>
      </w:pPr>
      <w:r w:rsidRPr="00C903A8">
        <w:rPr>
          <w:rFonts w:ascii="Times New Roman" w:hAnsi="Times New Roman" w:cs="Times New Roman"/>
          <w:lang w:val="es-ES"/>
        </w:rPr>
        <w:t>Como parte de la validación, se observó que la clasificación obtenida mediante el bosque aleatorio presentó una mayor precisión en la clasificación de los estudiantes que abandonan la universidad, con un 82</w:t>
      </w:r>
      <w:r w:rsidR="00580494" w:rsidRPr="00C903A8">
        <w:rPr>
          <w:rFonts w:ascii="Times New Roman" w:hAnsi="Times New Roman" w:cs="Times New Roman"/>
          <w:lang w:val="es-ES"/>
        </w:rPr>
        <w:t>.</w:t>
      </w:r>
      <w:r w:rsidRPr="00C903A8">
        <w:rPr>
          <w:rFonts w:ascii="Times New Roman" w:hAnsi="Times New Roman" w:cs="Times New Roman"/>
          <w:lang w:val="es-ES"/>
        </w:rPr>
        <w:t>16%, en comparación con la clasificación obtenida mediante el árbol de decisión, con un 79</w:t>
      </w:r>
      <w:r w:rsidR="00580494" w:rsidRPr="00C903A8">
        <w:rPr>
          <w:rFonts w:ascii="Times New Roman" w:hAnsi="Times New Roman" w:cs="Times New Roman"/>
          <w:lang w:val="es-ES"/>
        </w:rPr>
        <w:t>.</w:t>
      </w:r>
      <w:r w:rsidRPr="00C903A8">
        <w:rPr>
          <w:rFonts w:ascii="Times New Roman" w:hAnsi="Times New Roman" w:cs="Times New Roman"/>
          <w:lang w:val="es-ES"/>
        </w:rPr>
        <w:t xml:space="preserve">55% de precisión. Por otro lado, la curva ROC del bosque aleatorio tuvo un mejor rendimiento, con una separabilidad de clases </w:t>
      </w:r>
      <w:r w:rsidR="00580494" w:rsidRPr="00C903A8">
        <w:rPr>
          <w:rFonts w:ascii="Times New Roman" w:hAnsi="Times New Roman" w:cs="Times New Roman"/>
          <w:lang w:val="es-ES"/>
        </w:rPr>
        <w:t xml:space="preserve">del </w:t>
      </w:r>
      <w:r w:rsidRPr="00C903A8">
        <w:rPr>
          <w:rFonts w:ascii="Times New Roman" w:hAnsi="Times New Roman" w:cs="Times New Roman"/>
          <w:lang w:val="es-ES"/>
        </w:rPr>
        <w:t xml:space="preserve">89%. </w:t>
      </w:r>
      <w:r w:rsidR="00580494" w:rsidRPr="00C903A8">
        <w:rPr>
          <w:rFonts w:ascii="Times New Roman" w:hAnsi="Times New Roman" w:cs="Times New Roman"/>
          <w:lang w:val="es-ES"/>
        </w:rPr>
        <w:t>Mientras que e</w:t>
      </w:r>
      <w:r w:rsidRPr="00C903A8">
        <w:rPr>
          <w:rFonts w:ascii="Times New Roman" w:hAnsi="Times New Roman" w:cs="Times New Roman"/>
          <w:lang w:val="es-ES"/>
        </w:rPr>
        <w:t>l árbol de decisión obtuvo un 82%. Esto significa que el modelo obtenido mediante el bosque aleatorio es capaz de distinguir mejor entre clases positivas y negativas, es decir, clasificar mejor los nuevos casos de estudiantes con o sin intención de abandonar la universidad.</w:t>
      </w:r>
    </w:p>
    <w:p w14:paraId="69D25AA8" w14:textId="77777777" w:rsidR="002C106F" w:rsidRDefault="002C106F" w:rsidP="002C106F">
      <w:pPr>
        <w:jc w:val="both"/>
        <w:rPr>
          <w:rFonts w:ascii="Times New Roman" w:hAnsi="Times New Roman" w:cs="Times New Roman"/>
          <w:lang w:val="es-ES"/>
        </w:rPr>
      </w:pPr>
    </w:p>
    <w:p w14:paraId="27ADD12A" w14:textId="0D17EC56" w:rsidR="00587557" w:rsidRPr="00C903A8" w:rsidRDefault="00580494" w:rsidP="002C106F">
      <w:pPr>
        <w:jc w:val="both"/>
        <w:rPr>
          <w:rFonts w:ascii="Times New Roman" w:hAnsi="Times New Roman" w:cs="Times New Roman"/>
          <w:lang w:val="es-ES"/>
        </w:rPr>
      </w:pPr>
      <w:r w:rsidRPr="00C903A8">
        <w:rPr>
          <w:rFonts w:ascii="Times New Roman" w:hAnsi="Times New Roman" w:cs="Times New Roman"/>
          <w:lang w:val="es-ES"/>
        </w:rPr>
        <w:lastRenderedPageBreak/>
        <w:t>Sin duda, n</w:t>
      </w:r>
      <w:r w:rsidR="00587557" w:rsidRPr="00C903A8">
        <w:rPr>
          <w:rFonts w:ascii="Times New Roman" w:hAnsi="Times New Roman" w:cs="Times New Roman"/>
          <w:lang w:val="es-ES"/>
        </w:rPr>
        <w:t xml:space="preserve">o completar la educación superior tiene enormes consecuencias, no solo para las personas afectadas, sino también para la sociedad en la que viven. Completar la educación superior puede garantizar mejores oportunidades en el mercado laboral. Sin embargo, quienes abandonan la </w:t>
      </w:r>
      <w:r w:rsidR="003561A7" w:rsidRPr="00C903A8">
        <w:rPr>
          <w:rFonts w:ascii="Times New Roman" w:hAnsi="Times New Roman" w:cs="Times New Roman"/>
          <w:lang w:val="es-ES"/>
        </w:rPr>
        <w:t>universidad</w:t>
      </w:r>
      <w:r w:rsidR="00587557" w:rsidRPr="00C903A8">
        <w:rPr>
          <w:rFonts w:ascii="Times New Roman" w:hAnsi="Times New Roman" w:cs="Times New Roman"/>
          <w:lang w:val="es-ES"/>
        </w:rPr>
        <w:t xml:space="preserve"> prematuramente ganan menos y presentan tasas de desempleo más altas que quienes la completan. Por lo tanto, prevenir el abandono involucra a todo el sistema educativo, así como a áreas externas como el sistema de salud y los servicios sociales. No obstante, la lucha por la finalización de la educación superior requiere una inversión significativa en estrategias de prevención del abandono </w:t>
      </w:r>
      <w:r w:rsidR="003561A7" w:rsidRPr="00C903A8">
        <w:rPr>
          <w:rFonts w:ascii="Times New Roman" w:hAnsi="Times New Roman" w:cs="Times New Roman"/>
          <w:lang w:val="es-ES"/>
        </w:rPr>
        <w:t>universitario</w:t>
      </w:r>
      <w:r w:rsidR="00587557" w:rsidRPr="00C903A8">
        <w:rPr>
          <w:rFonts w:ascii="Times New Roman" w:hAnsi="Times New Roman" w:cs="Times New Roman"/>
          <w:lang w:val="es-ES"/>
        </w:rPr>
        <w:t>.</w:t>
      </w:r>
    </w:p>
    <w:p w14:paraId="5686D14A" w14:textId="77777777" w:rsidR="002C106F" w:rsidRDefault="002C106F" w:rsidP="002C106F">
      <w:pPr>
        <w:jc w:val="both"/>
        <w:rPr>
          <w:rFonts w:ascii="Times New Roman" w:hAnsi="Times New Roman" w:cs="Times New Roman"/>
          <w:lang w:val="es-ES"/>
        </w:rPr>
      </w:pPr>
    </w:p>
    <w:p w14:paraId="7732F5BC" w14:textId="3D3933D9" w:rsidR="00580494" w:rsidRPr="00C903A8" w:rsidRDefault="00587557" w:rsidP="002C106F">
      <w:pPr>
        <w:jc w:val="both"/>
        <w:rPr>
          <w:rFonts w:ascii="Times New Roman" w:hAnsi="Times New Roman" w:cs="Times New Roman"/>
          <w:lang w:val="es-ES"/>
        </w:rPr>
      </w:pPr>
      <w:r w:rsidRPr="00C903A8">
        <w:rPr>
          <w:rFonts w:ascii="Times New Roman" w:hAnsi="Times New Roman" w:cs="Times New Roman"/>
          <w:lang w:val="es-ES"/>
        </w:rPr>
        <w:t xml:space="preserve">Finalmente, para combatir el abandono universitario, se recomienda ampliar el acceso a becas integrales, ofrecer apoyo emocional y crear condiciones que permitan a los estudiantes estudiar y trabajar sin abandonar </w:t>
      </w:r>
      <w:r w:rsidR="003561A7" w:rsidRPr="00C903A8">
        <w:rPr>
          <w:rFonts w:ascii="Times New Roman" w:hAnsi="Times New Roman" w:cs="Times New Roman"/>
          <w:lang w:val="es-ES"/>
        </w:rPr>
        <w:t>sus</w:t>
      </w:r>
      <w:r w:rsidRPr="00C903A8">
        <w:rPr>
          <w:rFonts w:ascii="Times New Roman" w:hAnsi="Times New Roman" w:cs="Times New Roman"/>
          <w:lang w:val="es-ES"/>
        </w:rPr>
        <w:t xml:space="preserve"> estudios. Además, es importante comprender las razones del desapego gradual que conduce al abandono escolar</w:t>
      </w:r>
      <w:r w:rsidR="003561A7" w:rsidRPr="00C903A8">
        <w:rPr>
          <w:rFonts w:ascii="Times New Roman" w:hAnsi="Times New Roman" w:cs="Times New Roman"/>
          <w:lang w:val="es-ES"/>
        </w:rPr>
        <w:t xml:space="preserve">. Las cuales son parte </w:t>
      </w:r>
      <w:r w:rsidRPr="00C903A8">
        <w:rPr>
          <w:rFonts w:ascii="Times New Roman" w:hAnsi="Times New Roman" w:cs="Times New Roman"/>
          <w:lang w:val="es-ES"/>
        </w:rPr>
        <w:t xml:space="preserve">un proceso dinámico </w:t>
      </w:r>
      <w:r w:rsidR="003561A7" w:rsidRPr="00C903A8">
        <w:rPr>
          <w:rFonts w:ascii="Times New Roman" w:hAnsi="Times New Roman" w:cs="Times New Roman"/>
          <w:lang w:val="es-ES"/>
        </w:rPr>
        <w:t xml:space="preserve">que </w:t>
      </w:r>
      <w:r w:rsidRPr="00C903A8">
        <w:rPr>
          <w:rFonts w:ascii="Times New Roman" w:hAnsi="Times New Roman" w:cs="Times New Roman"/>
          <w:lang w:val="es-ES"/>
        </w:rPr>
        <w:t>tiene un gran impacto en la forma de considerar las soluciones. De hecho, la correcta identificación de los estudiantes en riesgo de abandono permite el desarrollo de medidas preventivas específicas y eficaces.</w:t>
      </w:r>
    </w:p>
    <w:p w14:paraId="14B1A32A" w14:textId="7DCD3222" w:rsidR="0047704B" w:rsidRPr="00C903A8" w:rsidRDefault="0047704B" w:rsidP="00C903A8">
      <w:pPr>
        <w:jc w:val="both"/>
        <w:rPr>
          <w:rFonts w:ascii="Times New Roman" w:hAnsi="Times New Roman" w:cs="Times New Roman"/>
          <w:lang w:val="es-ES"/>
        </w:rPr>
      </w:pPr>
    </w:p>
    <w:p w14:paraId="2B792FC1" w14:textId="77777777" w:rsidR="002C106F" w:rsidRDefault="002C106F" w:rsidP="002C106F">
      <w:pPr>
        <w:jc w:val="center"/>
        <w:rPr>
          <w:rFonts w:ascii="Times New Roman" w:hAnsi="Times New Roman" w:cs="Times New Roman"/>
          <w:b/>
          <w:bCs/>
          <w:lang w:val="es-ES"/>
        </w:rPr>
      </w:pPr>
    </w:p>
    <w:p w14:paraId="55EB0C07" w14:textId="77777777" w:rsidR="002C106F" w:rsidRDefault="002C106F" w:rsidP="002C106F">
      <w:pPr>
        <w:jc w:val="center"/>
        <w:rPr>
          <w:rFonts w:ascii="Times New Roman" w:hAnsi="Times New Roman" w:cs="Times New Roman"/>
          <w:b/>
          <w:bCs/>
          <w:lang w:val="es-ES"/>
        </w:rPr>
      </w:pPr>
    </w:p>
    <w:p w14:paraId="74C22C95" w14:textId="77777777" w:rsidR="002C106F" w:rsidRDefault="002C106F" w:rsidP="002C106F">
      <w:pPr>
        <w:jc w:val="center"/>
        <w:rPr>
          <w:rFonts w:ascii="Times New Roman" w:hAnsi="Times New Roman" w:cs="Times New Roman"/>
          <w:b/>
          <w:bCs/>
          <w:lang w:val="es-ES"/>
        </w:rPr>
      </w:pPr>
    </w:p>
    <w:p w14:paraId="118B30DE" w14:textId="77777777" w:rsidR="002C106F" w:rsidRDefault="002C106F" w:rsidP="002C106F">
      <w:pPr>
        <w:jc w:val="center"/>
        <w:rPr>
          <w:rFonts w:ascii="Times New Roman" w:hAnsi="Times New Roman" w:cs="Times New Roman"/>
          <w:b/>
          <w:bCs/>
          <w:lang w:val="es-ES"/>
        </w:rPr>
      </w:pPr>
    </w:p>
    <w:p w14:paraId="257B8EBD" w14:textId="77777777" w:rsidR="002C106F" w:rsidRDefault="002C106F" w:rsidP="002C106F">
      <w:pPr>
        <w:jc w:val="center"/>
        <w:rPr>
          <w:rFonts w:ascii="Times New Roman" w:hAnsi="Times New Roman" w:cs="Times New Roman"/>
          <w:b/>
          <w:bCs/>
          <w:lang w:val="es-ES"/>
        </w:rPr>
      </w:pPr>
    </w:p>
    <w:p w14:paraId="2C7B656D" w14:textId="77777777" w:rsidR="002C106F" w:rsidRDefault="002C106F" w:rsidP="002C106F">
      <w:pPr>
        <w:jc w:val="center"/>
        <w:rPr>
          <w:rFonts w:ascii="Times New Roman" w:hAnsi="Times New Roman" w:cs="Times New Roman"/>
          <w:b/>
          <w:bCs/>
          <w:lang w:val="es-ES"/>
        </w:rPr>
      </w:pPr>
    </w:p>
    <w:p w14:paraId="2750C676" w14:textId="77777777" w:rsidR="002C106F" w:rsidRDefault="002C106F" w:rsidP="002C106F">
      <w:pPr>
        <w:jc w:val="center"/>
        <w:rPr>
          <w:rFonts w:ascii="Times New Roman" w:hAnsi="Times New Roman" w:cs="Times New Roman"/>
          <w:b/>
          <w:bCs/>
          <w:lang w:val="es-ES"/>
        </w:rPr>
      </w:pPr>
    </w:p>
    <w:p w14:paraId="35D848A5" w14:textId="77777777" w:rsidR="002C106F" w:rsidRDefault="002C106F" w:rsidP="002C106F">
      <w:pPr>
        <w:jc w:val="center"/>
        <w:rPr>
          <w:rFonts w:ascii="Times New Roman" w:hAnsi="Times New Roman" w:cs="Times New Roman"/>
          <w:b/>
          <w:bCs/>
          <w:lang w:val="es-ES"/>
        </w:rPr>
      </w:pPr>
    </w:p>
    <w:p w14:paraId="373CDD99" w14:textId="77777777" w:rsidR="002C106F" w:rsidRDefault="002C106F" w:rsidP="002C106F">
      <w:pPr>
        <w:jc w:val="center"/>
        <w:rPr>
          <w:rFonts w:ascii="Times New Roman" w:hAnsi="Times New Roman" w:cs="Times New Roman"/>
          <w:b/>
          <w:bCs/>
          <w:lang w:val="es-ES"/>
        </w:rPr>
      </w:pPr>
    </w:p>
    <w:p w14:paraId="74E9CFD0" w14:textId="77777777" w:rsidR="002C106F" w:rsidRDefault="002C106F" w:rsidP="002C106F">
      <w:pPr>
        <w:jc w:val="center"/>
        <w:rPr>
          <w:rFonts w:ascii="Times New Roman" w:hAnsi="Times New Roman" w:cs="Times New Roman"/>
          <w:b/>
          <w:bCs/>
          <w:lang w:val="es-ES"/>
        </w:rPr>
      </w:pPr>
    </w:p>
    <w:p w14:paraId="610D0D66" w14:textId="77777777" w:rsidR="002C106F" w:rsidRDefault="002C106F" w:rsidP="002C106F">
      <w:pPr>
        <w:jc w:val="center"/>
        <w:rPr>
          <w:rFonts w:ascii="Times New Roman" w:hAnsi="Times New Roman" w:cs="Times New Roman"/>
          <w:b/>
          <w:bCs/>
          <w:lang w:val="es-ES"/>
        </w:rPr>
      </w:pPr>
    </w:p>
    <w:p w14:paraId="29ECD622" w14:textId="77777777" w:rsidR="002C106F" w:rsidRDefault="002C106F" w:rsidP="002C106F">
      <w:pPr>
        <w:jc w:val="center"/>
        <w:rPr>
          <w:rFonts w:ascii="Times New Roman" w:hAnsi="Times New Roman" w:cs="Times New Roman"/>
          <w:b/>
          <w:bCs/>
          <w:lang w:val="es-ES"/>
        </w:rPr>
      </w:pPr>
    </w:p>
    <w:p w14:paraId="06C81863" w14:textId="77777777" w:rsidR="002C106F" w:rsidRDefault="002C106F" w:rsidP="002C106F">
      <w:pPr>
        <w:jc w:val="center"/>
        <w:rPr>
          <w:rFonts w:ascii="Times New Roman" w:hAnsi="Times New Roman" w:cs="Times New Roman"/>
          <w:b/>
          <w:bCs/>
          <w:lang w:val="es-ES"/>
        </w:rPr>
      </w:pPr>
    </w:p>
    <w:p w14:paraId="7D58F3F7" w14:textId="77777777" w:rsidR="002C106F" w:rsidRDefault="002C106F" w:rsidP="002C106F">
      <w:pPr>
        <w:jc w:val="center"/>
        <w:rPr>
          <w:rFonts w:ascii="Times New Roman" w:hAnsi="Times New Roman" w:cs="Times New Roman"/>
          <w:b/>
          <w:bCs/>
          <w:lang w:val="es-ES"/>
        </w:rPr>
      </w:pPr>
    </w:p>
    <w:p w14:paraId="48F7E802" w14:textId="77777777" w:rsidR="002C106F" w:rsidRDefault="002C106F" w:rsidP="002C106F">
      <w:pPr>
        <w:jc w:val="center"/>
        <w:rPr>
          <w:rFonts w:ascii="Times New Roman" w:hAnsi="Times New Roman" w:cs="Times New Roman"/>
          <w:b/>
          <w:bCs/>
          <w:lang w:val="es-ES"/>
        </w:rPr>
      </w:pPr>
    </w:p>
    <w:p w14:paraId="4932FC9A" w14:textId="77777777" w:rsidR="002C106F" w:rsidRDefault="002C106F" w:rsidP="002C106F">
      <w:pPr>
        <w:jc w:val="center"/>
        <w:rPr>
          <w:rFonts w:ascii="Times New Roman" w:hAnsi="Times New Roman" w:cs="Times New Roman"/>
          <w:b/>
          <w:bCs/>
          <w:lang w:val="es-ES"/>
        </w:rPr>
      </w:pPr>
    </w:p>
    <w:p w14:paraId="6C4C1345" w14:textId="77777777" w:rsidR="002C106F" w:rsidRDefault="002C106F" w:rsidP="002C106F">
      <w:pPr>
        <w:jc w:val="center"/>
        <w:rPr>
          <w:rFonts w:ascii="Times New Roman" w:hAnsi="Times New Roman" w:cs="Times New Roman"/>
          <w:b/>
          <w:bCs/>
          <w:lang w:val="es-ES"/>
        </w:rPr>
      </w:pPr>
    </w:p>
    <w:p w14:paraId="4407BF3C" w14:textId="77777777" w:rsidR="002C106F" w:rsidRDefault="002C106F" w:rsidP="002C106F">
      <w:pPr>
        <w:jc w:val="center"/>
        <w:rPr>
          <w:rFonts w:ascii="Times New Roman" w:hAnsi="Times New Roman" w:cs="Times New Roman"/>
          <w:b/>
          <w:bCs/>
          <w:lang w:val="es-ES"/>
        </w:rPr>
      </w:pPr>
    </w:p>
    <w:p w14:paraId="54A5DEE9" w14:textId="77777777" w:rsidR="002C106F" w:rsidRDefault="002C106F" w:rsidP="002C106F">
      <w:pPr>
        <w:jc w:val="center"/>
        <w:rPr>
          <w:rFonts w:ascii="Times New Roman" w:hAnsi="Times New Roman" w:cs="Times New Roman"/>
          <w:b/>
          <w:bCs/>
          <w:lang w:val="es-ES"/>
        </w:rPr>
      </w:pPr>
    </w:p>
    <w:p w14:paraId="200924D7" w14:textId="77777777" w:rsidR="002C106F" w:rsidRDefault="002C106F" w:rsidP="002C106F">
      <w:pPr>
        <w:jc w:val="center"/>
        <w:rPr>
          <w:rFonts w:ascii="Times New Roman" w:hAnsi="Times New Roman" w:cs="Times New Roman"/>
          <w:b/>
          <w:bCs/>
          <w:lang w:val="es-ES"/>
        </w:rPr>
      </w:pPr>
    </w:p>
    <w:p w14:paraId="6C7E961A" w14:textId="77777777" w:rsidR="002C106F" w:rsidRDefault="002C106F" w:rsidP="002C106F">
      <w:pPr>
        <w:jc w:val="center"/>
        <w:rPr>
          <w:rFonts w:ascii="Times New Roman" w:hAnsi="Times New Roman" w:cs="Times New Roman"/>
          <w:b/>
          <w:bCs/>
          <w:lang w:val="es-ES"/>
        </w:rPr>
      </w:pPr>
    </w:p>
    <w:p w14:paraId="7FB67111" w14:textId="77777777" w:rsidR="002C106F" w:rsidRDefault="002C106F" w:rsidP="002C106F">
      <w:pPr>
        <w:jc w:val="center"/>
        <w:rPr>
          <w:rFonts w:ascii="Times New Roman" w:hAnsi="Times New Roman" w:cs="Times New Roman"/>
          <w:b/>
          <w:bCs/>
          <w:lang w:val="es-ES"/>
        </w:rPr>
      </w:pPr>
    </w:p>
    <w:p w14:paraId="043ADB2A" w14:textId="77777777" w:rsidR="002C106F" w:rsidRDefault="002C106F" w:rsidP="002C106F">
      <w:pPr>
        <w:jc w:val="center"/>
        <w:rPr>
          <w:rFonts w:ascii="Times New Roman" w:hAnsi="Times New Roman" w:cs="Times New Roman"/>
          <w:b/>
          <w:bCs/>
          <w:lang w:val="es-ES"/>
        </w:rPr>
      </w:pPr>
    </w:p>
    <w:p w14:paraId="6F93C0DA" w14:textId="77777777" w:rsidR="002C106F" w:rsidRDefault="002C106F" w:rsidP="002C106F">
      <w:pPr>
        <w:jc w:val="center"/>
        <w:rPr>
          <w:rFonts w:ascii="Times New Roman" w:hAnsi="Times New Roman" w:cs="Times New Roman"/>
          <w:b/>
          <w:bCs/>
          <w:lang w:val="es-ES"/>
        </w:rPr>
      </w:pPr>
    </w:p>
    <w:p w14:paraId="2FA672F2" w14:textId="77777777" w:rsidR="002C106F" w:rsidRDefault="002C106F" w:rsidP="002C106F">
      <w:pPr>
        <w:jc w:val="center"/>
        <w:rPr>
          <w:rFonts w:ascii="Times New Roman" w:hAnsi="Times New Roman" w:cs="Times New Roman"/>
          <w:b/>
          <w:bCs/>
          <w:lang w:val="es-ES"/>
        </w:rPr>
      </w:pPr>
    </w:p>
    <w:p w14:paraId="1FC9ED0E" w14:textId="77777777" w:rsidR="002C106F" w:rsidRDefault="002C106F" w:rsidP="002C106F">
      <w:pPr>
        <w:jc w:val="center"/>
        <w:rPr>
          <w:rFonts w:ascii="Times New Roman" w:hAnsi="Times New Roman" w:cs="Times New Roman"/>
          <w:b/>
          <w:bCs/>
          <w:lang w:val="es-ES"/>
        </w:rPr>
      </w:pPr>
    </w:p>
    <w:p w14:paraId="015F53AF" w14:textId="77777777" w:rsidR="002C106F" w:rsidRDefault="002C106F" w:rsidP="002C106F">
      <w:pPr>
        <w:jc w:val="center"/>
        <w:rPr>
          <w:rFonts w:ascii="Times New Roman" w:hAnsi="Times New Roman" w:cs="Times New Roman"/>
          <w:b/>
          <w:bCs/>
          <w:lang w:val="es-ES"/>
        </w:rPr>
      </w:pPr>
    </w:p>
    <w:p w14:paraId="1E8EBEC5" w14:textId="77777777" w:rsidR="002C106F" w:rsidRDefault="002C106F" w:rsidP="002C106F">
      <w:pPr>
        <w:jc w:val="center"/>
        <w:rPr>
          <w:rFonts w:ascii="Times New Roman" w:hAnsi="Times New Roman" w:cs="Times New Roman"/>
          <w:b/>
          <w:bCs/>
          <w:lang w:val="es-ES"/>
        </w:rPr>
      </w:pPr>
    </w:p>
    <w:p w14:paraId="0D3970D6" w14:textId="411A0716" w:rsidR="00580494" w:rsidRPr="002C106F" w:rsidRDefault="0047704B" w:rsidP="002C106F">
      <w:pPr>
        <w:jc w:val="center"/>
        <w:rPr>
          <w:rFonts w:ascii="Times New Roman" w:hAnsi="Times New Roman" w:cs="Times New Roman"/>
          <w:b/>
          <w:bCs/>
          <w:lang w:val="es-ES"/>
        </w:rPr>
      </w:pPr>
      <w:r w:rsidRPr="002C106F">
        <w:rPr>
          <w:rFonts w:ascii="Times New Roman" w:hAnsi="Times New Roman" w:cs="Times New Roman"/>
          <w:b/>
          <w:bCs/>
          <w:lang w:val="es-ES"/>
        </w:rPr>
        <w:t>Referencias</w:t>
      </w:r>
    </w:p>
    <w:p w14:paraId="50C38AC9" w14:textId="78B01310" w:rsidR="00580494" w:rsidRPr="00C903A8" w:rsidRDefault="00580494" w:rsidP="00C903A8">
      <w:pPr>
        <w:jc w:val="both"/>
        <w:rPr>
          <w:rFonts w:ascii="Times New Roman" w:hAnsi="Times New Roman" w:cs="Times New Roman"/>
          <w:lang w:val="es-ES"/>
        </w:rPr>
      </w:pPr>
    </w:p>
    <w:p w14:paraId="1F4D02F5" w14:textId="3F6ABF5D" w:rsidR="00870270" w:rsidRPr="00C903A8" w:rsidRDefault="00580494" w:rsidP="00C903A8">
      <w:pPr>
        <w:pStyle w:val="references"/>
        <w:numPr>
          <w:ilvl w:val="0"/>
          <w:numId w:val="0"/>
        </w:numPr>
        <w:spacing w:after="0" w:line="240" w:lineRule="auto"/>
        <w:ind w:left="709" w:hanging="709"/>
        <w:rPr>
          <w:sz w:val="24"/>
          <w:szCs w:val="24"/>
        </w:rPr>
      </w:pPr>
      <w:r w:rsidRPr="00C903A8">
        <w:rPr>
          <w:sz w:val="24"/>
          <w:szCs w:val="24"/>
          <w:lang w:val="es-MX"/>
        </w:rPr>
        <w:lastRenderedPageBreak/>
        <w:t>Avitabile, C., Cuevas, J.</w:t>
      </w:r>
      <w:r w:rsidR="00DF0B1A" w:rsidRPr="00C903A8">
        <w:rPr>
          <w:sz w:val="24"/>
          <w:szCs w:val="24"/>
          <w:lang w:val="es-MX"/>
        </w:rPr>
        <w:t>,</w:t>
      </w:r>
      <w:r w:rsidRPr="00C903A8">
        <w:rPr>
          <w:sz w:val="24"/>
          <w:szCs w:val="24"/>
          <w:lang w:val="es-MX"/>
        </w:rPr>
        <w:t xml:space="preserve"> Hoyos, R.</w:t>
      </w:r>
      <w:r w:rsidR="00EC2ADA" w:rsidRPr="00C903A8">
        <w:rPr>
          <w:sz w:val="24"/>
          <w:szCs w:val="24"/>
          <w:lang w:val="es-MX"/>
        </w:rPr>
        <w:t>,</w:t>
      </w:r>
      <w:r w:rsidR="00DF0B1A" w:rsidRPr="00C903A8">
        <w:rPr>
          <w:sz w:val="24"/>
          <w:szCs w:val="24"/>
          <w:lang w:val="es-MX"/>
        </w:rPr>
        <w:t xml:space="preserve"> &amp; Jamison J.</w:t>
      </w:r>
      <w:r w:rsidRPr="00C903A8">
        <w:rPr>
          <w:sz w:val="24"/>
          <w:szCs w:val="24"/>
          <w:lang w:val="es-MX"/>
        </w:rPr>
        <w:t xml:space="preserve"> (20</w:t>
      </w:r>
      <w:r w:rsidR="00EC2ADA" w:rsidRPr="00C903A8">
        <w:rPr>
          <w:sz w:val="24"/>
          <w:szCs w:val="24"/>
          <w:lang w:val="es-MX"/>
        </w:rPr>
        <w:t>22</w:t>
      </w:r>
      <w:r w:rsidRPr="00C903A8">
        <w:rPr>
          <w:sz w:val="24"/>
          <w:szCs w:val="24"/>
          <w:lang w:val="es-MX"/>
        </w:rPr>
        <w:t xml:space="preserve">). </w:t>
      </w:r>
      <w:r w:rsidRPr="00C903A8">
        <w:rPr>
          <w:sz w:val="24"/>
          <w:szCs w:val="24"/>
        </w:rPr>
        <w:t xml:space="preserve">The Impact of School-based Cognitive Behavioral Therapy on High School Dropout Rates in Mexico. </w:t>
      </w:r>
      <w:r w:rsidR="00870270" w:rsidRPr="00C903A8">
        <w:rPr>
          <w:i/>
          <w:iCs/>
          <w:sz w:val="24"/>
          <w:szCs w:val="24"/>
        </w:rPr>
        <w:t>World Banck Group</w:t>
      </w:r>
      <w:r w:rsidR="00DF0B1A" w:rsidRPr="00C903A8">
        <w:rPr>
          <w:sz w:val="24"/>
          <w:szCs w:val="24"/>
        </w:rPr>
        <w:t xml:space="preserve">. </w:t>
      </w:r>
      <w:r w:rsidR="00870270" w:rsidRPr="00C903A8">
        <w:rPr>
          <w:sz w:val="24"/>
          <w:szCs w:val="24"/>
        </w:rPr>
        <w:t>https://www.povertyactionlab.org/sites/default/files/research-paper/SSRN-id3507833.pdf</w:t>
      </w:r>
    </w:p>
    <w:p w14:paraId="76C118C0" w14:textId="29E7823C" w:rsidR="00EC2ADA" w:rsidRPr="00C903A8" w:rsidRDefault="00580494" w:rsidP="00C903A8">
      <w:pPr>
        <w:pStyle w:val="references"/>
        <w:numPr>
          <w:ilvl w:val="0"/>
          <w:numId w:val="0"/>
        </w:numPr>
        <w:spacing w:after="0" w:line="240" w:lineRule="auto"/>
        <w:ind w:left="709" w:hanging="709"/>
        <w:rPr>
          <w:sz w:val="24"/>
          <w:szCs w:val="24"/>
        </w:rPr>
      </w:pPr>
      <w:r w:rsidRPr="00C903A8">
        <w:rPr>
          <w:sz w:val="24"/>
          <w:szCs w:val="24"/>
        </w:rPr>
        <w:t>Dugalam, R.</w:t>
      </w:r>
      <w:r w:rsidR="00B93F86" w:rsidRPr="00C903A8">
        <w:rPr>
          <w:sz w:val="24"/>
          <w:szCs w:val="24"/>
        </w:rPr>
        <w:t>,</w:t>
      </w:r>
      <w:r w:rsidR="00EC2ADA" w:rsidRPr="00C903A8">
        <w:rPr>
          <w:sz w:val="24"/>
          <w:szCs w:val="24"/>
        </w:rPr>
        <w:t xml:space="preserve"> </w:t>
      </w:r>
      <w:r w:rsidR="00EC2ADA" w:rsidRPr="00C903A8">
        <w:rPr>
          <w:sz w:val="24"/>
          <w:szCs w:val="24"/>
          <w:lang w:val="es-MX"/>
        </w:rPr>
        <w:t>&amp;</w:t>
      </w:r>
      <w:r w:rsidRPr="00C903A8">
        <w:rPr>
          <w:sz w:val="24"/>
          <w:szCs w:val="24"/>
        </w:rPr>
        <w:t xml:space="preserve"> Prakash, G. (2024). Development of a random forest based algorithm for road health monitoring. </w:t>
      </w:r>
      <w:r w:rsidRPr="00C903A8">
        <w:rPr>
          <w:i/>
          <w:iCs/>
          <w:sz w:val="24"/>
          <w:szCs w:val="24"/>
        </w:rPr>
        <w:t>Expert Systems with Applications</w:t>
      </w:r>
      <w:r w:rsidRPr="00C903A8">
        <w:rPr>
          <w:sz w:val="24"/>
          <w:szCs w:val="24"/>
        </w:rPr>
        <w:t>, 251</w:t>
      </w:r>
      <w:r w:rsidR="00EC2ADA" w:rsidRPr="00C903A8">
        <w:rPr>
          <w:sz w:val="24"/>
          <w:szCs w:val="24"/>
        </w:rPr>
        <w:t>, 123940, DOI: doi.org/10.1016/j.eswa.2024.123940</w:t>
      </w:r>
    </w:p>
    <w:p w14:paraId="331B11F7" w14:textId="056CB252" w:rsidR="00B93F86"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Garrido-Miranda, J., </w:t>
      </w:r>
      <w:r w:rsidR="00B93F86" w:rsidRPr="00C903A8">
        <w:rPr>
          <w:sz w:val="24"/>
          <w:szCs w:val="24"/>
          <w:lang w:val="es-MX"/>
        </w:rPr>
        <w:t xml:space="preserve">&amp; </w:t>
      </w:r>
      <w:r w:rsidRPr="00C903A8">
        <w:rPr>
          <w:sz w:val="24"/>
          <w:szCs w:val="24"/>
          <w:lang w:val="es-MX"/>
        </w:rPr>
        <w:t xml:space="preserve">Polanco, M. (2020). La voz de los estudiantes en riesgo de abandono escolar. Su visión sobre el profesorado. </w:t>
      </w:r>
      <w:r w:rsidRPr="00C903A8">
        <w:rPr>
          <w:i/>
          <w:iCs/>
          <w:sz w:val="24"/>
          <w:szCs w:val="24"/>
          <w:lang w:val="es-MX"/>
        </w:rPr>
        <w:t>Perfiles educativos</w:t>
      </w:r>
      <w:r w:rsidRPr="00C903A8">
        <w:rPr>
          <w:sz w:val="24"/>
          <w:szCs w:val="24"/>
          <w:lang w:val="es-MX"/>
        </w:rPr>
        <w:t>, 42(170), 6-21.</w:t>
      </w:r>
    </w:p>
    <w:p w14:paraId="536D14CD" w14:textId="68094858" w:rsidR="00094929" w:rsidRPr="00C903A8" w:rsidRDefault="00094929" w:rsidP="00C903A8">
      <w:pPr>
        <w:pStyle w:val="references"/>
        <w:numPr>
          <w:ilvl w:val="0"/>
          <w:numId w:val="0"/>
        </w:numPr>
        <w:spacing w:after="0" w:line="240" w:lineRule="auto"/>
        <w:ind w:left="709" w:hanging="709"/>
        <w:rPr>
          <w:sz w:val="24"/>
          <w:szCs w:val="24"/>
          <w:lang w:val="es-MX"/>
        </w:rPr>
      </w:pPr>
      <w:r w:rsidRPr="00C903A8">
        <w:rPr>
          <w:sz w:val="24"/>
          <w:szCs w:val="24"/>
          <w:lang w:val="es-MX"/>
        </w:rPr>
        <w:t>Gobierno de México (2025). Coordinación Nacional de Becas para el Bienestar Benito Juárez. www.gob.mx/becasbenitojuarez/articulos/conoce-todo-sobre-la-beca-jovenes-escribiendo-el-futuro</w:t>
      </w:r>
    </w:p>
    <w:p w14:paraId="3068328B" w14:textId="5DEA6D37"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González, M. (2015). Los centros escolares y su contribución a paliar el desenganche y abandono escolar. Profesorado. </w:t>
      </w:r>
      <w:r w:rsidRPr="00C903A8">
        <w:rPr>
          <w:i/>
          <w:iCs/>
          <w:sz w:val="24"/>
          <w:szCs w:val="24"/>
          <w:lang w:val="es-MX"/>
        </w:rPr>
        <w:t>Revista de Curriculum y Formación de Profesorado</w:t>
      </w:r>
      <w:r w:rsidRPr="00C903A8">
        <w:rPr>
          <w:sz w:val="24"/>
          <w:szCs w:val="24"/>
          <w:lang w:val="es-MX"/>
        </w:rPr>
        <w:t>, 19(3), 158-176.</w:t>
      </w:r>
    </w:p>
    <w:p w14:paraId="2A0B2AA2" w14:textId="096F3F2E" w:rsidR="002738BB"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Guzmán, R., </w:t>
      </w:r>
      <w:r w:rsidR="002738BB" w:rsidRPr="00C903A8">
        <w:rPr>
          <w:sz w:val="24"/>
          <w:szCs w:val="24"/>
          <w:lang w:val="es-MX"/>
        </w:rPr>
        <w:t xml:space="preserve">&amp; </w:t>
      </w:r>
      <w:r w:rsidRPr="00C903A8">
        <w:rPr>
          <w:sz w:val="24"/>
          <w:szCs w:val="24"/>
          <w:lang w:val="es-MX"/>
        </w:rPr>
        <w:t xml:space="preserve">Moctezuma, A. (2023). Abandono escolar en la educación media superior de México. </w:t>
      </w:r>
      <w:r w:rsidRPr="00C903A8">
        <w:rPr>
          <w:i/>
          <w:iCs/>
          <w:sz w:val="24"/>
          <w:szCs w:val="24"/>
          <w:lang w:val="es-MX"/>
        </w:rPr>
        <w:t>IE Revista de Investigación Educativa de la REDIECH</w:t>
      </w:r>
      <w:r w:rsidRPr="00C903A8">
        <w:rPr>
          <w:sz w:val="24"/>
          <w:szCs w:val="24"/>
          <w:lang w:val="es-MX"/>
        </w:rPr>
        <w:t>, 14, 1-5.</w:t>
      </w:r>
    </w:p>
    <w:p w14:paraId="2EEF5A70" w14:textId="1E7628AE"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Hidalgo, J. A.,</w:t>
      </w:r>
      <w:r w:rsidR="001663A6" w:rsidRPr="00C903A8">
        <w:rPr>
          <w:sz w:val="24"/>
          <w:szCs w:val="24"/>
          <w:lang w:val="es-MX"/>
        </w:rPr>
        <w:t xml:space="preserve"> &amp;</w:t>
      </w:r>
      <w:r w:rsidRPr="00C903A8">
        <w:rPr>
          <w:sz w:val="24"/>
          <w:szCs w:val="24"/>
          <w:lang w:val="es-MX"/>
        </w:rPr>
        <w:t xml:space="preserve"> Márquez, D. M. (2025). Los factores socioeconómicos en la deserción escolar de los estudiantes de la unidad educativa Eloy Velázquez Cevallos. </w:t>
      </w:r>
      <w:r w:rsidRPr="00C903A8">
        <w:rPr>
          <w:i/>
          <w:iCs/>
          <w:sz w:val="24"/>
          <w:szCs w:val="24"/>
          <w:lang w:val="es-MX"/>
        </w:rPr>
        <w:t>Ciencia Latina Revista Científica Multidisciplinar</w:t>
      </w:r>
      <w:r w:rsidRPr="00C903A8">
        <w:rPr>
          <w:sz w:val="24"/>
          <w:szCs w:val="24"/>
          <w:lang w:val="es-MX"/>
        </w:rPr>
        <w:t>, 9(1), 9242-9254.</w:t>
      </w:r>
    </w:p>
    <w:p w14:paraId="2F6D4CE3" w14:textId="4AAD0CF8"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INEE (</w:t>
      </w:r>
      <w:r w:rsidR="00A864DE" w:rsidRPr="00C903A8">
        <w:rPr>
          <w:sz w:val="24"/>
          <w:szCs w:val="24"/>
          <w:lang w:val="es-MX"/>
        </w:rPr>
        <w:t>2016)</w:t>
      </w:r>
      <w:r w:rsidRPr="00C903A8">
        <w:rPr>
          <w:sz w:val="24"/>
          <w:szCs w:val="24"/>
          <w:lang w:val="es-MX"/>
        </w:rPr>
        <w:t>. Estudio sobre las intervenciones para abatir el abandono escolar en educaci</w:t>
      </w:r>
      <w:r w:rsidR="002738BB" w:rsidRPr="00C903A8">
        <w:rPr>
          <w:sz w:val="24"/>
          <w:szCs w:val="24"/>
          <w:lang w:val="es-MX"/>
        </w:rPr>
        <w:t>ó</w:t>
      </w:r>
      <w:r w:rsidRPr="00C903A8">
        <w:rPr>
          <w:sz w:val="24"/>
          <w:szCs w:val="24"/>
          <w:lang w:val="es-MX"/>
        </w:rPr>
        <w:t>n Media Superior.</w:t>
      </w:r>
      <w:r w:rsidR="00B8125A" w:rsidRPr="00C903A8">
        <w:rPr>
          <w:sz w:val="24"/>
          <w:szCs w:val="24"/>
          <w:lang w:val="es-MX"/>
        </w:rPr>
        <w:t xml:space="preserve"> </w:t>
      </w:r>
      <w:r w:rsidR="00B8125A" w:rsidRPr="00C903A8">
        <w:rPr>
          <w:i/>
          <w:iCs/>
          <w:sz w:val="24"/>
          <w:szCs w:val="24"/>
          <w:lang w:val="es-MX"/>
        </w:rPr>
        <w:t>Instituto Nacional para la Evaluación de la Educación</w:t>
      </w:r>
      <w:r w:rsidRPr="00C903A8">
        <w:rPr>
          <w:sz w:val="24"/>
          <w:szCs w:val="24"/>
          <w:lang w:val="es-MX"/>
        </w:rPr>
        <w:t xml:space="preserve"> www.inee.edu.mx/portalweb/suplemento12/abandono-escolar-en-ems-yo-no-abandono.pdf</w:t>
      </w:r>
    </w:p>
    <w:p w14:paraId="0F2B5DE9" w14:textId="1EEDC92A"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INEGI (202</w:t>
      </w:r>
      <w:r w:rsidR="00A864DE" w:rsidRPr="00C903A8">
        <w:rPr>
          <w:sz w:val="24"/>
          <w:szCs w:val="24"/>
          <w:lang w:val="es-MX"/>
        </w:rPr>
        <w:t>4</w:t>
      </w:r>
      <w:r w:rsidRPr="00C903A8">
        <w:rPr>
          <w:sz w:val="24"/>
          <w:szCs w:val="24"/>
          <w:lang w:val="es-MX"/>
        </w:rPr>
        <w:t>). Tasa de abandono escolar por entidad federativa</w:t>
      </w:r>
      <w:r w:rsidR="00B8125A" w:rsidRPr="00C903A8">
        <w:rPr>
          <w:sz w:val="24"/>
          <w:szCs w:val="24"/>
          <w:lang w:val="es-MX"/>
        </w:rPr>
        <w:t xml:space="preserve">, ciclos escolares seleccionados de 2000/2001 a 2023/2024. Instituto Nacional de Estadística y Geografía. </w:t>
      </w:r>
      <w:r w:rsidR="00A864DE" w:rsidRPr="00C903A8">
        <w:rPr>
          <w:sz w:val="24"/>
          <w:szCs w:val="24"/>
          <w:lang w:val="es-MX"/>
        </w:rPr>
        <w:t>www.inegi.org.mx/app/tabulados/interactivos/?px=Educacion_11&amp;bd=Educacion</w:t>
      </w:r>
    </w:p>
    <w:p w14:paraId="0DBE6507" w14:textId="6447DEB2"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rPr>
        <w:t xml:space="preserve">Kruse, R., Borgelt, C., Braune, C., Mostaghim, S., </w:t>
      </w:r>
      <w:r w:rsidR="006E3503" w:rsidRPr="00C903A8">
        <w:rPr>
          <w:sz w:val="24"/>
          <w:szCs w:val="24"/>
        </w:rPr>
        <w:t xml:space="preserve">&amp; </w:t>
      </w:r>
      <w:r w:rsidRPr="00C903A8">
        <w:rPr>
          <w:sz w:val="24"/>
          <w:szCs w:val="24"/>
        </w:rPr>
        <w:t xml:space="preserve">Steinbrecher, M. (2017). </w:t>
      </w:r>
      <w:r w:rsidRPr="00C903A8">
        <w:rPr>
          <w:sz w:val="24"/>
          <w:szCs w:val="24"/>
          <w:lang w:val="es-MX"/>
        </w:rPr>
        <w:t>Introduction to Computational Intelligence</w:t>
      </w:r>
      <w:r w:rsidR="006E3503" w:rsidRPr="00C903A8">
        <w:rPr>
          <w:sz w:val="24"/>
          <w:szCs w:val="24"/>
        </w:rPr>
        <w:t xml:space="preserve">. </w:t>
      </w:r>
      <w:r w:rsidR="006E3503" w:rsidRPr="00C903A8">
        <w:rPr>
          <w:i/>
          <w:iCs/>
          <w:sz w:val="24"/>
          <w:szCs w:val="24"/>
        </w:rPr>
        <w:t>In Computational Intelligence: A Methodological Introduction</w:t>
      </w:r>
      <w:r w:rsidR="006E3503" w:rsidRPr="00C903A8">
        <w:rPr>
          <w:sz w:val="24"/>
          <w:szCs w:val="24"/>
        </w:rPr>
        <w:t xml:space="preserve"> (pp. 1-5). </w:t>
      </w:r>
      <w:r w:rsidR="006E3503" w:rsidRPr="00C903A8">
        <w:rPr>
          <w:sz w:val="24"/>
          <w:szCs w:val="24"/>
          <w:lang w:val="es-MX"/>
        </w:rPr>
        <w:t>London: Springer</w:t>
      </w:r>
    </w:p>
    <w:p w14:paraId="5C36658E" w14:textId="77777777"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Miranda, F. (2018). Abandono escolar en educación media superior: conocimiento y aportaciones de política. </w:t>
      </w:r>
      <w:r w:rsidRPr="00C903A8">
        <w:rPr>
          <w:i/>
          <w:iCs/>
          <w:sz w:val="24"/>
          <w:szCs w:val="24"/>
          <w:lang w:val="es-MX"/>
        </w:rPr>
        <w:t>Sinéctica</w:t>
      </w:r>
      <w:r w:rsidRPr="00C903A8">
        <w:rPr>
          <w:sz w:val="24"/>
          <w:szCs w:val="24"/>
          <w:lang w:val="es-MX"/>
        </w:rPr>
        <w:t>, 51, 1-22.</w:t>
      </w:r>
    </w:p>
    <w:p w14:paraId="6FDA3264" w14:textId="45FA7FEF" w:rsidR="0025421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Necochea, Y., Nervi, Ch., Tuesta, V., Olazabal, L., Rodríguez, J., Gastelo, A., </w:t>
      </w:r>
      <w:r w:rsidR="00254214" w:rsidRPr="00C903A8">
        <w:rPr>
          <w:sz w:val="24"/>
          <w:szCs w:val="24"/>
          <w:lang w:val="es-MX"/>
        </w:rPr>
        <w:t xml:space="preserve">&amp; </w:t>
      </w:r>
      <w:r w:rsidRPr="00C903A8">
        <w:rPr>
          <w:sz w:val="24"/>
          <w:szCs w:val="24"/>
          <w:lang w:val="es-MX"/>
        </w:rPr>
        <w:t xml:space="preserve">León-Jiménez, F. (2017). Frecuencia y características del abandono estudiantil en una </w:t>
      </w:r>
      <w:r w:rsidR="00254214" w:rsidRPr="00C903A8">
        <w:rPr>
          <w:sz w:val="24"/>
          <w:szCs w:val="24"/>
          <w:lang w:val="es-MX"/>
        </w:rPr>
        <w:t>E</w:t>
      </w:r>
      <w:r w:rsidRPr="00C903A8">
        <w:rPr>
          <w:sz w:val="24"/>
          <w:szCs w:val="24"/>
          <w:lang w:val="es-MX"/>
        </w:rPr>
        <w:t xml:space="preserve">scuela de Medicina de Lambayeque, 2006-2014. </w:t>
      </w:r>
      <w:r w:rsidRPr="00C903A8">
        <w:rPr>
          <w:i/>
          <w:iCs/>
          <w:sz w:val="24"/>
          <w:szCs w:val="24"/>
          <w:lang w:val="es-MX"/>
        </w:rPr>
        <w:t>Revista Médica Heredian</w:t>
      </w:r>
      <w:r w:rsidR="00254214" w:rsidRPr="00C903A8">
        <w:rPr>
          <w:i/>
          <w:iCs/>
          <w:sz w:val="24"/>
          <w:szCs w:val="24"/>
          <w:lang w:val="es-MX"/>
        </w:rPr>
        <w:t>a</w:t>
      </w:r>
      <w:r w:rsidRPr="00C903A8">
        <w:rPr>
          <w:sz w:val="24"/>
          <w:szCs w:val="24"/>
          <w:lang w:val="es-MX"/>
        </w:rPr>
        <w:t>, 28(3),</w:t>
      </w:r>
      <w:r w:rsidR="00254214" w:rsidRPr="00C903A8">
        <w:rPr>
          <w:sz w:val="24"/>
          <w:szCs w:val="24"/>
          <w:lang w:val="es-MX"/>
        </w:rPr>
        <w:t xml:space="preserve"> </w:t>
      </w:r>
      <w:r w:rsidRPr="00C903A8">
        <w:rPr>
          <w:sz w:val="24"/>
          <w:szCs w:val="24"/>
          <w:lang w:val="es-MX"/>
        </w:rPr>
        <w:t>171-177.</w:t>
      </w:r>
    </w:p>
    <w:p w14:paraId="71A9B187" w14:textId="76F1B285"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OCD</w:t>
      </w:r>
      <w:r w:rsidR="00617AFD" w:rsidRPr="00C903A8">
        <w:rPr>
          <w:sz w:val="24"/>
          <w:szCs w:val="24"/>
          <w:lang w:val="es-MX"/>
        </w:rPr>
        <w:t>E</w:t>
      </w:r>
      <w:r w:rsidRPr="00C903A8">
        <w:rPr>
          <w:sz w:val="24"/>
          <w:szCs w:val="24"/>
          <w:lang w:val="es-MX"/>
        </w:rPr>
        <w:t xml:space="preserve"> (2019a). El futuro de la educación superior en México: Fortalecimiento de la calidad y la equidad. Revisión de Políticas Nacionales de Educación</w:t>
      </w:r>
      <w:r w:rsidR="005F051E" w:rsidRPr="00C903A8">
        <w:rPr>
          <w:sz w:val="24"/>
          <w:szCs w:val="24"/>
          <w:lang w:val="es-MX"/>
        </w:rPr>
        <w:t xml:space="preserve">. </w:t>
      </w:r>
      <w:r w:rsidR="005F051E" w:rsidRPr="00C903A8">
        <w:rPr>
          <w:i/>
          <w:iCs/>
          <w:sz w:val="24"/>
          <w:szCs w:val="24"/>
          <w:lang w:val="es-MX"/>
        </w:rPr>
        <w:t>Organización para la Cooperación y el Desarrollo Económicos,</w:t>
      </w:r>
      <w:r w:rsidRPr="00C903A8">
        <w:rPr>
          <w:sz w:val="24"/>
          <w:szCs w:val="24"/>
          <w:lang w:val="es-MX"/>
        </w:rPr>
        <w:t xml:space="preserve"> </w:t>
      </w:r>
      <w:r w:rsidRPr="00C903A8">
        <w:rPr>
          <w:i/>
          <w:iCs/>
          <w:sz w:val="24"/>
          <w:szCs w:val="24"/>
          <w:lang w:val="es-MX"/>
        </w:rPr>
        <w:t>OECD Publishing</w:t>
      </w:r>
      <w:r w:rsidRPr="00C903A8">
        <w:rPr>
          <w:sz w:val="24"/>
          <w:szCs w:val="24"/>
          <w:lang w:val="es-MX"/>
        </w:rPr>
        <w:t>, Paris.</w:t>
      </w:r>
    </w:p>
    <w:p w14:paraId="160C69AD" w14:textId="3FC6193A"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O</w:t>
      </w:r>
      <w:r w:rsidR="00094929" w:rsidRPr="00C903A8">
        <w:rPr>
          <w:sz w:val="24"/>
          <w:szCs w:val="24"/>
          <w:lang w:val="es-MX"/>
        </w:rPr>
        <w:t>C</w:t>
      </w:r>
      <w:r w:rsidRPr="00C903A8">
        <w:rPr>
          <w:sz w:val="24"/>
          <w:szCs w:val="24"/>
          <w:lang w:val="es-MX"/>
        </w:rPr>
        <w:t>D</w:t>
      </w:r>
      <w:r w:rsidR="00617AFD" w:rsidRPr="00C903A8">
        <w:rPr>
          <w:sz w:val="24"/>
          <w:szCs w:val="24"/>
          <w:lang w:val="es-MX"/>
        </w:rPr>
        <w:t>E</w:t>
      </w:r>
      <w:r w:rsidRPr="00C903A8">
        <w:rPr>
          <w:sz w:val="24"/>
          <w:szCs w:val="24"/>
          <w:lang w:val="es-MX"/>
        </w:rPr>
        <w:t xml:space="preserve"> (2019b). Educación superior en México: Resultados y relevancia para el mercado laboral</w:t>
      </w:r>
      <w:r w:rsidR="005F051E" w:rsidRPr="00C903A8">
        <w:rPr>
          <w:sz w:val="24"/>
          <w:szCs w:val="24"/>
          <w:lang w:val="es-MX"/>
        </w:rPr>
        <w:t>.</w:t>
      </w:r>
      <w:r w:rsidRPr="00C903A8">
        <w:rPr>
          <w:sz w:val="24"/>
          <w:szCs w:val="24"/>
          <w:lang w:val="es-MX"/>
        </w:rPr>
        <w:t xml:space="preserve"> </w:t>
      </w:r>
      <w:r w:rsidR="005F051E" w:rsidRPr="00C903A8">
        <w:rPr>
          <w:i/>
          <w:iCs/>
          <w:sz w:val="24"/>
          <w:szCs w:val="24"/>
          <w:lang w:val="es-MX"/>
        </w:rPr>
        <w:t>Organización para la Cooperación y el Desarrollo Económicos</w:t>
      </w:r>
      <w:r w:rsidR="005F051E" w:rsidRPr="00C903A8">
        <w:rPr>
          <w:sz w:val="24"/>
          <w:szCs w:val="24"/>
          <w:lang w:val="es-MX"/>
        </w:rPr>
        <w:t>,</w:t>
      </w:r>
      <w:r w:rsidR="005F051E" w:rsidRPr="00C903A8">
        <w:rPr>
          <w:i/>
          <w:iCs/>
          <w:sz w:val="24"/>
          <w:szCs w:val="24"/>
          <w:lang w:val="es-MX"/>
        </w:rPr>
        <w:t xml:space="preserve"> </w:t>
      </w:r>
      <w:r w:rsidRPr="00C903A8">
        <w:rPr>
          <w:i/>
          <w:iCs/>
          <w:sz w:val="24"/>
          <w:szCs w:val="24"/>
          <w:lang w:val="es-MX"/>
        </w:rPr>
        <w:t>OECD Publishing</w:t>
      </w:r>
      <w:r w:rsidRPr="00C903A8">
        <w:rPr>
          <w:sz w:val="24"/>
          <w:szCs w:val="24"/>
          <w:lang w:val="es-MX"/>
        </w:rPr>
        <w:t>, Paris.</w:t>
      </w:r>
    </w:p>
    <w:p w14:paraId="753EDF65" w14:textId="1BD03170"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rPr>
        <w:t>O</w:t>
      </w:r>
      <w:r w:rsidR="00094929" w:rsidRPr="00C903A8">
        <w:rPr>
          <w:sz w:val="24"/>
          <w:szCs w:val="24"/>
        </w:rPr>
        <w:t>C</w:t>
      </w:r>
      <w:r w:rsidRPr="00C903A8">
        <w:rPr>
          <w:sz w:val="24"/>
          <w:szCs w:val="24"/>
        </w:rPr>
        <w:t>D</w:t>
      </w:r>
      <w:r w:rsidR="00617AFD" w:rsidRPr="00C903A8">
        <w:rPr>
          <w:sz w:val="24"/>
          <w:szCs w:val="24"/>
        </w:rPr>
        <w:t>E</w:t>
      </w:r>
      <w:r w:rsidRPr="00C903A8">
        <w:rPr>
          <w:sz w:val="24"/>
          <w:szCs w:val="24"/>
        </w:rPr>
        <w:t xml:space="preserve"> (2025</w:t>
      </w:r>
      <w:r w:rsidR="001663A6" w:rsidRPr="00C903A8">
        <w:rPr>
          <w:sz w:val="24"/>
          <w:szCs w:val="24"/>
        </w:rPr>
        <w:t>a</w:t>
      </w:r>
      <w:r w:rsidRPr="00C903A8">
        <w:rPr>
          <w:sz w:val="24"/>
          <w:szCs w:val="24"/>
        </w:rPr>
        <w:t xml:space="preserve">). </w:t>
      </w:r>
      <w:r w:rsidR="00C011EB" w:rsidRPr="00C903A8">
        <w:rPr>
          <w:sz w:val="24"/>
          <w:szCs w:val="24"/>
        </w:rPr>
        <w:t xml:space="preserve">Education GPS: </w:t>
      </w:r>
      <w:r w:rsidRPr="00C903A8">
        <w:rPr>
          <w:sz w:val="24"/>
          <w:szCs w:val="24"/>
        </w:rPr>
        <w:t xml:space="preserve">Mexico, Overview of the education system (EAG). </w:t>
      </w:r>
      <w:r w:rsidR="005F051E" w:rsidRPr="00C903A8">
        <w:rPr>
          <w:sz w:val="24"/>
          <w:szCs w:val="24"/>
        </w:rPr>
        <w:t xml:space="preserve"> The world of education at your fingertips. </w:t>
      </w:r>
      <w:r w:rsidR="005F051E" w:rsidRPr="00C903A8">
        <w:rPr>
          <w:i/>
          <w:iCs/>
          <w:sz w:val="24"/>
          <w:szCs w:val="24"/>
          <w:lang w:val="es-MX"/>
        </w:rPr>
        <w:t>Organización para la Cooperación y el Desarrollo Económicos</w:t>
      </w:r>
      <w:r w:rsidR="005F051E" w:rsidRPr="00C903A8">
        <w:rPr>
          <w:sz w:val="24"/>
          <w:szCs w:val="24"/>
          <w:lang w:val="es-MX"/>
        </w:rPr>
        <w:t xml:space="preserve">. </w:t>
      </w:r>
      <w:r w:rsidR="00C011EB" w:rsidRPr="00C903A8">
        <w:rPr>
          <w:sz w:val="24"/>
          <w:szCs w:val="24"/>
          <w:lang w:val="es-MX"/>
        </w:rPr>
        <w:t>http://bit.ly/4v0v2d8</w:t>
      </w:r>
    </w:p>
    <w:p w14:paraId="3F6AE170" w14:textId="309C0CEB" w:rsidR="001663A6" w:rsidRPr="00C903A8" w:rsidRDefault="003B62C8" w:rsidP="00C903A8">
      <w:pPr>
        <w:pStyle w:val="references"/>
        <w:numPr>
          <w:ilvl w:val="0"/>
          <w:numId w:val="0"/>
        </w:numPr>
        <w:spacing w:after="0" w:line="240" w:lineRule="auto"/>
        <w:ind w:left="709" w:hanging="709"/>
        <w:rPr>
          <w:sz w:val="24"/>
          <w:szCs w:val="24"/>
          <w:lang w:val="es-MX"/>
        </w:rPr>
      </w:pPr>
      <w:r w:rsidRPr="00C903A8">
        <w:rPr>
          <w:sz w:val="24"/>
          <w:szCs w:val="24"/>
        </w:rPr>
        <w:t>OCDE (202</w:t>
      </w:r>
      <w:r w:rsidR="001663A6" w:rsidRPr="00C903A8">
        <w:rPr>
          <w:sz w:val="24"/>
          <w:szCs w:val="24"/>
        </w:rPr>
        <w:t>5b</w:t>
      </w:r>
      <w:r w:rsidRPr="00C903A8">
        <w:rPr>
          <w:sz w:val="24"/>
          <w:szCs w:val="24"/>
        </w:rPr>
        <w:t xml:space="preserve">). </w:t>
      </w:r>
      <w:r w:rsidR="001663A6" w:rsidRPr="00C903A8">
        <w:rPr>
          <w:sz w:val="24"/>
          <w:szCs w:val="24"/>
        </w:rPr>
        <w:t>Education at a Glance 2025: Mexico</w:t>
      </w:r>
      <w:r w:rsidRPr="00C903A8">
        <w:rPr>
          <w:sz w:val="24"/>
          <w:szCs w:val="24"/>
        </w:rPr>
        <w:t xml:space="preserve">. </w:t>
      </w:r>
      <w:r w:rsidR="005F051E" w:rsidRPr="00C903A8">
        <w:rPr>
          <w:i/>
          <w:iCs/>
          <w:sz w:val="24"/>
          <w:szCs w:val="24"/>
          <w:lang w:val="es-MX"/>
        </w:rPr>
        <w:t>Organización para la Cooperación y el Desarrollo Económicos.</w:t>
      </w:r>
      <w:r w:rsidR="001663A6" w:rsidRPr="00C903A8">
        <w:rPr>
          <w:sz w:val="24"/>
          <w:szCs w:val="24"/>
          <w:lang w:val="es-MX"/>
        </w:rPr>
        <w:t xml:space="preserve"> https://bit.ly/3RQQbb8</w:t>
      </w:r>
    </w:p>
    <w:p w14:paraId="73B40C33" w14:textId="77777777" w:rsidR="009461BE" w:rsidRPr="00C903A8" w:rsidRDefault="009461BE"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Otero, A. (2021). Deserción escolar en estudiantes universitarios: estudio de caso del área económico-administrativa. </w:t>
      </w:r>
      <w:r w:rsidRPr="00C903A8">
        <w:rPr>
          <w:i/>
          <w:iCs/>
          <w:sz w:val="24"/>
          <w:szCs w:val="24"/>
          <w:lang w:val="es-MX"/>
        </w:rPr>
        <w:t>RIDE Revista iberoamericana para la investigación y el desarrollo educativo</w:t>
      </w:r>
      <w:r w:rsidRPr="00C903A8">
        <w:rPr>
          <w:sz w:val="24"/>
          <w:szCs w:val="24"/>
          <w:lang w:val="es-MX"/>
        </w:rPr>
        <w:t>, 12(23). DOI: doi.org/10.23913/ride.v12i23.1084</w:t>
      </w:r>
    </w:p>
    <w:p w14:paraId="080D25D3" w14:textId="57EF959D"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lastRenderedPageBreak/>
        <w:t>Ramírez, L.</w:t>
      </w:r>
      <w:r w:rsidR="001663A6" w:rsidRPr="00C903A8">
        <w:rPr>
          <w:sz w:val="24"/>
          <w:szCs w:val="24"/>
          <w:lang w:val="es-MX"/>
        </w:rPr>
        <w:t>,</w:t>
      </w:r>
      <w:r w:rsidRPr="00C903A8">
        <w:rPr>
          <w:sz w:val="24"/>
          <w:szCs w:val="24"/>
          <w:lang w:val="es-MX"/>
        </w:rPr>
        <w:t xml:space="preserve"> </w:t>
      </w:r>
      <w:r w:rsidR="001663A6" w:rsidRPr="00C903A8">
        <w:rPr>
          <w:sz w:val="24"/>
          <w:szCs w:val="24"/>
          <w:lang w:val="es-MX"/>
        </w:rPr>
        <w:t>&amp;</w:t>
      </w:r>
      <w:r w:rsidRPr="00C903A8">
        <w:rPr>
          <w:sz w:val="24"/>
          <w:szCs w:val="24"/>
          <w:lang w:val="es-MX"/>
        </w:rPr>
        <w:t xml:space="preserve"> Cázares, R. (2024). Impacto en la educación superior en México debido a la pandemia de COVID-19. </w:t>
      </w:r>
      <w:r w:rsidRPr="00C903A8">
        <w:rPr>
          <w:i/>
          <w:iCs/>
          <w:sz w:val="24"/>
          <w:szCs w:val="24"/>
          <w:lang w:val="es-MX"/>
        </w:rPr>
        <w:t>Innovación Educativa</w:t>
      </w:r>
      <w:r w:rsidRPr="00C903A8">
        <w:rPr>
          <w:sz w:val="24"/>
          <w:szCs w:val="24"/>
          <w:lang w:val="es-MX"/>
        </w:rPr>
        <w:t>, 24(95), 34-46.</w:t>
      </w:r>
    </w:p>
    <w:p w14:paraId="4EA52235" w14:textId="68FA0C52" w:rsidR="001663A6"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Rochin, F. (2021). Deserción escolar en la educación superior en México: revisión de literatura. RIDE. </w:t>
      </w:r>
      <w:r w:rsidRPr="00C903A8">
        <w:rPr>
          <w:i/>
          <w:iCs/>
          <w:sz w:val="24"/>
          <w:szCs w:val="24"/>
          <w:lang w:val="es-MX"/>
        </w:rPr>
        <w:t>Revista Iberoamericana para la Investigación y el Desarrollo Educativo</w:t>
      </w:r>
      <w:r w:rsidRPr="00C903A8">
        <w:rPr>
          <w:sz w:val="24"/>
          <w:szCs w:val="24"/>
          <w:lang w:val="es-MX"/>
        </w:rPr>
        <w:t xml:space="preserve"> 11(22).</w:t>
      </w:r>
      <w:r w:rsidR="0043331E" w:rsidRPr="00C903A8">
        <w:rPr>
          <w:sz w:val="24"/>
          <w:szCs w:val="24"/>
          <w:lang w:val="es-MX"/>
        </w:rPr>
        <w:t xml:space="preserve"> DOI: doi.org/10.23913/ride.v11i22.821</w:t>
      </w:r>
    </w:p>
    <w:p w14:paraId="7B0DC2C2" w14:textId="77777777" w:rsidR="00AC20B9" w:rsidRPr="00C903A8" w:rsidRDefault="00AC20B9"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Rodríguez, M. (2007). La educación básica como derecho social fundamental: estudiantes, recursos y escuelas indígenas 2000-2005. El derecho a la educación en México. </w:t>
      </w:r>
      <w:r w:rsidRPr="00C903A8">
        <w:rPr>
          <w:i/>
          <w:iCs/>
          <w:sz w:val="24"/>
          <w:szCs w:val="24"/>
          <w:lang w:val="es-MX"/>
        </w:rPr>
        <w:t>Fundación Laboratorio de Políticas Públicas</w:t>
      </w:r>
      <w:r w:rsidRPr="00C903A8">
        <w:rPr>
          <w:sz w:val="24"/>
          <w:szCs w:val="24"/>
          <w:lang w:val="es-MX"/>
        </w:rPr>
        <w:t>. https://bit.ly/4dWfh0U</w:t>
      </w:r>
    </w:p>
    <w:p w14:paraId="2DBBB487" w14:textId="676665D0" w:rsidR="00580494" w:rsidRPr="00C903A8" w:rsidRDefault="00580494" w:rsidP="00C903A8">
      <w:pPr>
        <w:pStyle w:val="references"/>
        <w:numPr>
          <w:ilvl w:val="0"/>
          <w:numId w:val="0"/>
        </w:numPr>
        <w:spacing w:after="0" w:line="240" w:lineRule="auto"/>
        <w:ind w:left="709" w:hanging="709"/>
        <w:rPr>
          <w:sz w:val="24"/>
          <w:szCs w:val="24"/>
          <w:lang w:val="es-MX"/>
        </w:rPr>
      </w:pPr>
      <w:r w:rsidRPr="00C903A8">
        <w:rPr>
          <w:sz w:val="24"/>
          <w:szCs w:val="24"/>
          <w:lang w:val="es-MX"/>
        </w:rPr>
        <w:t xml:space="preserve">Rodríguez, H. (2024). Retos y desafíos en la educación mexicana. </w:t>
      </w:r>
      <w:r w:rsidR="00AC20B9" w:rsidRPr="00C903A8">
        <w:rPr>
          <w:i/>
          <w:iCs/>
          <w:sz w:val="24"/>
          <w:szCs w:val="24"/>
          <w:lang w:val="es-MX"/>
        </w:rPr>
        <w:t>Universidad Loyola de América</w:t>
      </w:r>
      <w:r w:rsidR="00AC20B9" w:rsidRPr="00C903A8">
        <w:rPr>
          <w:sz w:val="24"/>
          <w:szCs w:val="24"/>
          <w:lang w:val="es-MX"/>
        </w:rPr>
        <w:t xml:space="preserve">. </w:t>
      </w:r>
      <w:r w:rsidRPr="00C903A8">
        <w:rPr>
          <w:sz w:val="24"/>
          <w:szCs w:val="24"/>
          <w:lang w:val="es-MX"/>
        </w:rPr>
        <w:t>https://universidadloyola.edu.mx/retos-y-desafios-en-la-educacion-mexicana</w:t>
      </w:r>
    </w:p>
    <w:p w14:paraId="246CEA6F" w14:textId="26B454BF" w:rsidR="00580494" w:rsidRPr="00C903A8" w:rsidRDefault="00580494" w:rsidP="00C903A8">
      <w:pPr>
        <w:pStyle w:val="references"/>
        <w:numPr>
          <w:ilvl w:val="0"/>
          <w:numId w:val="0"/>
        </w:numPr>
        <w:spacing w:after="0" w:line="240" w:lineRule="auto"/>
        <w:ind w:left="709" w:hanging="709"/>
        <w:rPr>
          <w:sz w:val="24"/>
          <w:szCs w:val="24"/>
        </w:rPr>
      </w:pPr>
      <w:r w:rsidRPr="00C903A8">
        <w:rPr>
          <w:sz w:val="24"/>
          <w:szCs w:val="24"/>
          <w:lang w:val="es-MX"/>
        </w:rPr>
        <w:t xml:space="preserve">Sánchez, E., </w:t>
      </w:r>
      <w:r w:rsidR="00AC20B9" w:rsidRPr="00C903A8">
        <w:rPr>
          <w:sz w:val="24"/>
          <w:szCs w:val="24"/>
          <w:lang w:val="es-MX"/>
        </w:rPr>
        <w:t xml:space="preserve">&amp; </w:t>
      </w:r>
      <w:r w:rsidRPr="00C903A8">
        <w:rPr>
          <w:sz w:val="24"/>
          <w:szCs w:val="24"/>
          <w:lang w:val="es-MX"/>
        </w:rPr>
        <w:t xml:space="preserve">Sianes, A. (2021). Ley General de Educación Superior de México. Calidad, inclusión social, gratuidad y obligatoriedad de la enseñanza superior: criterios que sostienen una ley. </w:t>
      </w:r>
      <w:r w:rsidRPr="00C903A8">
        <w:rPr>
          <w:i/>
          <w:iCs/>
          <w:sz w:val="24"/>
          <w:szCs w:val="24"/>
        </w:rPr>
        <w:t>Spanish Journal of Comparative Education</w:t>
      </w:r>
      <w:r w:rsidRPr="00C903A8">
        <w:rPr>
          <w:sz w:val="24"/>
          <w:szCs w:val="24"/>
        </w:rPr>
        <w:t xml:space="preserve"> (39), 286–299.</w:t>
      </w:r>
    </w:p>
    <w:p w14:paraId="4505ABA6" w14:textId="77777777" w:rsidR="00CC3FAF" w:rsidRPr="00C903A8" w:rsidRDefault="00580494" w:rsidP="00C903A8">
      <w:pPr>
        <w:pStyle w:val="references"/>
        <w:numPr>
          <w:ilvl w:val="0"/>
          <w:numId w:val="0"/>
        </w:numPr>
        <w:spacing w:after="0" w:line="240" w:lineRule="auto"/>
        <w:ind w:left="709" w:hanging="709"/>
        <w:rPr>
          <w:sz w:val="24"/>
          <w:szCs w:val="24"/>
        </w:rPr>
      </w:pPr>
      <w:r w:rsidRPr="00C903A8">
        <w:rPr>
          <w:sz w:val="24"/>
          <w:szCs w:val="24"/>
          <w:lang w:val="es-MX"/>
        </w:rPr>
        <w:t xml:space="preserve">Sarica, A., Cerasa, A., </w:t>
      </w:r>
      <w:r w:rsidR="00AC20B9" w:rsidRPr="00C903A8">
        <w:rPr>
          <w:sz w:val="24"/>
          <w:szCs w:val="24"/>
          <w:lang w:val="es-MX"/>
        </w:rPr>
        <w:t xml:space="preserve">&amp; </w:t>
      </w:r>
      <w:r w:rsidRPr="00C903A8">
        <w:rPr>
          <w:sz w:val="24"/>
          <w:szCs w:val="24"/>
          <w:lang w:val="es-MX"/>
        </w:rPr>
        <w:t xml:space="preserve">Quattrone, A. (2017). </w:t>
      </w:r>
      <w:r w:rsidRPr="00C903A8">
        <w:rPr>
          <w:sz w:val="24"/>
          <w:szCs w:val="24"/>
        </w:rPr>
        <w:t xml:space="preserve">Random Forest Algorithm for the Classification of Neuroimaging Data in Alzheimer's Disease: A Systematic Review. </w:t>
      </w:r>
      <w:r w:rsidRPr="00C903A8">
        <w:rPr>
          <w:i/>
          <w:iCs/>
          <w:sz w:val="24"/>
          <w:szCs w:val="24"/>
        </w:rPr>
        <w:t>Frontiers in Aging Neuroscience</w:t>
      </w:r>
      <w:r w:rsidRPr="00C903A8">
        <w:rPr>
          <w:sz w:val="24"/>
          <w:szCs w:val="24"/>
        </w:rPr>
        <w:t>, 9(329), 1-12</w:t>
      </w:r>
      <w:r w:rsidR="00AC20B9" w:rsidRPr="00C903A8">
        <w:rPr>
          <w:sz w:val="24"/>
          <w:szCs w:val="24"/>
        </w:rPr>
        <w:t>. DOI: doi.org/10.3389/fnagi.2017.00329</w:t>
      </w:r>
    </w:p>
    <w:p w14:paraId="2EB9384B" w14:textId="0214B1B1" w:rsidR="00094929" w:rsidRPr="00C903A8" w:rsidRDefault="00580494" w:rsidP="00C903A8">
      <w:pPr>
        <w:pStyle w:val="references"/>
        <w:numPr>
          <w:ilvl w:val="0"/>
          <w:numId w:val="0"/>
        </w:numPr>
        <w:spacing w:after="0" w:line="240" w:lineRule="auto"/>
        <w:ind w:left="709" w:hanging="709"/>
        <w:rPr>
          <w:sz w:val="24"/>
          <w:szCs w:val="24"/>
        </w:rPr>
      </w:pPr>
      <w:r w:rsidRPr="00C903A8">
        <w:rPr>
          <w:sz w:val="24"/>
          <w:szCs w:val="24"/>
        </w:rPr>
        <w:t xml:space="preserve">Schonlau, M., </w:t>
      </w:r>
      <w:r w:rsidR="008F4D7E" w:rsidRPr="00C903A8">
        <w:rPr>
          <w:sz w:val="24"/>
          <w:szCs w:val="24"/>
          <w:lang w:val="es-MX"/>
        </w:rPr>
        <w:t xml:space="preserve">&amp; </w:t>
      </w:r>
      <w:r w:rsidRPr="00C903A8">
        <w:rPr>
          <w:sz w:val="24"/>
          <w:szCs w:val="24"/>
        </w:rPr>
        <w:t xml:space="preserve">Zou, R. (2020). The random forest algorithm for statistical learning. </w:t>
      </w:r>
      <w:r w:rsidRPr="00C903A8">
        <w:rPr>
          <w:i/>
          <w:iCs/>
          <w:sz w:val="24"/>
          <w:szCs w:val="24"/>
          <w:lang w:val="es-MX"/>
        </w:rPr>
        <w:t>The Stata Journal</w:t>
      </w:r>
      <w:r w:rsidRPr="00C903A8">
        <w:rPr>
          <w:sz w:val="24"/>
          <w:szCs w:val="24"/>
          <w:lang w:val="es-MX"/>
        </w:rPr>
        <w:t>, 20(1), 3-29.</w:t>
      </w:r>
      <w:r w:rsidR="00CC3FAF" w:rsidRPr="00C903A8">
        <w:rPr>
          <w:sz w:val="24"/>
          <w:szCs w:val="24"/>
          <w:lang w:val="es-MX"/>
        </w:rPr>
        <w:t xml:space="preserve"> DOI: doi.org/10.1177/1536867X20909688</w:t>
      </w:r>
    </w:p>
    <w:p w14:paraId="327DF45A" w14:textId="1627A1D9" w:rsidR="00094929" w:rsidRPr="00C903A8" w:rsidRDefault="00094929" w:rsidP="00C903A8">
      <w:pPr>
        <w:pStyle w:val="references"/>
        <w:numPr>
          <w:ilvl w:val="0"/>
          <w:numId w:val="0"/>
        </w:numPr>
        <w:spacing w:after="0" w:line="240" w:lineRule="auto"/>
        <w:ind w:left="709" w:hanging="709"/>
        <w:rPr>
          <w:sz w:val="24"/>
          <w:szCs w:val="24"/>
          <w:lang w:val="es-MX"/>
        </w:rPr>
      </w:pPr>
    </w:p>
    <w:p w14:paraId="0978AFC4" w14:textId="75FBB2F0" w:rsidR="004959E6" w:rsidRPr="00C903A8" w:rsidRDefault="004959E6" w:rsidP="00C903A8">
      <w:pPr>
        <w:pStyle w:val="references"/>
        <w:numPr>
          <w:ilvl w:val="0"/>
          <w:numId w:val="0"/>
        </w:numPr>
        <w:spacing w:after="0" w:line="240" w:lineRule="auto"/>
        <w:ind w:left="709" w:hanging="709"/>
        <w:rPr>
          <w:sz w:val="24"/>
          <w:szCs w:val="24"/>
          <w:lang w:val="es-MX"/>
        </w:rPr>
      </w:pPr>
    </w:p>
    <w:sectPr w:rsidR="004959E6" w:rsidRPr="00C903A8" w:rsidSect="00041B5E">
      <w:headerReference w:type="even" r:id="rId17"/>
      <w:headerReference w:type="default" r:id="rId18"/>
      <w:footerReference w:type="even" r:id="rId19"/>
      <w:footerReference w:type="default" r:id="rId20"/>
      <w:headerReference w:type="first" r:id="rId21"/>
      <w:footerReference w:type="first" r:id="rId22"/>
      <w:pgSz w:w="12240" w:h="15840"/>
      <w:pgMar w:top="1440" w:right="1041"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E192" w14:textId="77777777" w:rsidR="00203EF1" w:rsidRDefault="00203EF1" w:rsidP="0035240B">
      <w:r>
        <w:separator/>
      </w:r>
    </w:p>
  </w:endnote>
  <w:endnote w:type="continuationSeparator" w:id="0">
    <w:p w14:paraId="5B1729DB" w14:textId="77777777" w:rsidR="00203EF1" w:rsidRDefault="00203EF1" w:rsidP="0035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S Brabo">
    <w:altName w:val="Cambria"/>
    <w:panose1 w:val="00000000000000000000"/>
    <w:charset w:val="00"/>
    <w:family w:val="roman"/>
    <w:notTrueType/>
    <w:pitch w:val="variable"/>
    <w:sig w:usb0="A0000067" w:usb1="4000207F"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684" w14:textId="77777777" w:rsidR="0035240B" w:rsidRDefault="003524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934" w14:textId="77777777" w:rsidR="0035240B" w:rsidRPr="00B87E1C" w:rsidRDefault="0035240B" w:rsidP="0035240B">
    <w:pPr>
      <w:tabs>
        <w:tab w:val="left" w:pos="3390"/>
      </w:tabs>
      <w:jc w:val="center"/>
      <w:rPr>
        <w:rFonts w:ascii="Calibri" w:hAnsi="Calibri" w:cs="Calibri"/>
      </w:rPr>
    </w:pPr>
    <w:r w:rsidRPr="00B87E1C">
      <w:rPr>
        <w:rFonts w:ascii="Calibri" w:hAnsi="Calibri" w:cs="Calibri"/>
        <w:b/>
      </w:rPr>
      <w:t>Vol. 1</w:t>
    </w:r>
    <w:r>
      <w:rPr>
        <w:rFonts w:ascii="Calibri" w:hAnsi="Calibri" w:cs="Calibri"/>
        <w:b/>
      </w:rPr>
      <w:t>3</w:t>
    </w:r>
    <w:r w:rsidRPr="00B87E1C">
      <w:rPr>
        <w:rFonts w:ascii="Calibri" w:hAnsi="Calibri" w:cs="Calibri"/>
        <w:b/>
      </w:rPr>
      <w:t xml:space="preserve">, </w:t>
    </w:r>
    <w:proofErr w:type="spellStart"/>
    <w:r w:rsidRPr="00B87E1C">
      <w:rPr>
        <w:rFonts w:ascii="Calibri" w:hAnsi="Calibri" w:cs="Calibri"/>
        <w:b/>
      </w:rPr>
      <w:t>Núm</w:t>
    </w:r>
    <w:proofErr w:type="spellEnd"/>
    <w:r w:rsidRPr="00B87E1C">
      <w:rPr>
        <w:rFonts w:ascii="Calibri" w:hAnsi="Calibri" w:cs="Calibri"/>
        <w:b/>
      </w:rPr>
      <w:t>. 2</w:t>
    </w:r>
    <w:r>
      <w:rPr>
        <w:rFonts w:ascii="Calibri" w:hAnsi="Calibri" w:cs="Calibri"/>
        <w:b/>
      </w:rPr>
      <w:t>5</w:t>
    </w:r>
    <w:r w:rsidRPr="00B87E1C">
      <w:rPr>
        <w:rFonts w:ascii="Calibri" w:hAnsi="Calibri" w:cs="Calibri"/>
        <w:b/>
      </w:rPr>
      <w:t xml:space="preserve">                  </w:t>
    </w:r>
    <w:proofErr w:type="spellStart"/>
    <w:r>
      <w:rPr>
        <w:rFonts w:ascii="Calibri" w:hAnsi="Calibri" w:cs="Calibri"/>
        <w:b/>
      </w:rPr>
      <w:t>Ener</w:t>
    </w:r>
    <w:r w:rsidRPr="00B87E1C">
      <w:rPr>
        <w:rFonts w:ascii="Calibri" w:hAnsi="Calibri" w:cs="Calibri"/>
        <w:b/>
      </w:rPr>
      <w:t>o</w:t>
    </w:r>
    <w:proofErr w:type="spellEnd"/>
    <w:r w:rsidRPr="00B87E1C">
      <w:rPr>
        <w:rFonts w:ascii="Calibri" w:hAnsi="Calibri" w:cs="Calibri"/>
        <w:b/>
      </w:rPr>
      <w:t xml:space="preserve"> – </w:t>
    </w:r>
    <w:r>
      <w:rPr>
        <w:rFonts w:ascii="Calibri" w:hAnsi="Calibri" w:cs="Calibri"/>
        <w:b/>
      </w:rPr>
      <w:t>Julio</w:t>
    </w:r>
    <w:r w:rsidRPr="00B87E1C">
      <w:rPr>
        <w:rFonts w:ascii="Calibri" w:hAnsi="Calibri" w:cs="Calibri"/>
        <w:b/>
      </w:rPr>
      <w:t xml:space="preserve"> 202</w:t>
    </w:r>
    <w:r>
      <w:rPr>
        <w:rFonts w:ascii="Calibri" w:hAnsi="Calibri" w:cs="Calibri"/>
        <w:b/>
      </w:rPr>
      <w:t>6</w:t>
    </w:r>
    <w:r w:rsidRPr="00B87E1C">
      <w:rPr>
        <w:rFonts w:ascii="Calibri" w:hAnsi="Calibri" w:cs="Calibri"/>
        <w:b/>
      </w:rPr>
      <w:t xml:space="preserve">                        ISSN: 2448 – 6493</w:t>
    </w:r>
  </w:p>
  <w:p w14:paraId="5D4B7173" w14:textId="77777777" w:rsidR="0035240B" w:rsidRDefault="003524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50B0" w14:textId="77777777" w:rsidR="0035240B" w:rsidRDefault="003524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E6AE" w14:textId="77777777" w:rsidR="00203EF1" w:rsidRDefault="00203EF1" w:rsidP="0035240B">
      <w:r>
        <w:separator/>
      </w:r>
    </w:p>
  </w:footnote>
  <w:footnote w:type="continuationSeparator" w:id="0">
    <w:p w14:paraId="02C564EA" w14:textId="77777777" w:rsidR="00203EF1" w:rsidRDefault="00203EF1" w:rsidP="0035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593" w14:textId="77777777" w:rsidR="0035240B" w:rsidRDefault="003524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968" w14:textId="77777777" w:rsidR="0035240B" w:rsidRDefault="003524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0F2" w14:textId="77777777" w:rsidR="0035240B" w:rsidRDefault="00352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CA5"/>
    <w:multiLevelType w:val="hybridMultilevel"/>
    <w:tmpl w:val="3F6C85D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138A9"/>
    <w:multiLevelType w:val="multilevel"/>
    <w:tmpl w:val="22CC6AC0"/>
    <w:lvl w:ilvl="0">
      <w:start w:val="1"/>
      <w:numFmt w:val="decimal"/>
      <w:lvlText w:val="Fig. %1."/>
      <w:lvlJc w:val="left"/>
      <w:pPr>
        <w:ind w:left="720" w:hanging="360"/>
      </w:pPr>
      <w:rPr>
        <w:rFonts w:ascii="Times New Roman" w:hAnsi="Times New Roman" w:cs="Times New Roman" w:hint="default"/>
        <w:b/>
        <w:bCs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138B5C92"/>
    <w:multiLevelType w:val="hybridMultilevel"/>
    <w:tmpl w:val="F340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62443"/>
    <w:multiLevelType w:val="hybridMultilevel"/>
    <w:tmpl w:val="9334B646"/>
    <w:lvl w:ilvl="0" w:tplc="9FE48C9A">
      <w:start w:val="1"/>
      <w:numFmt w:val="none"/>
      <w:lvlText w:val="TABLA I"/>
      <w:lvlJc w:val="left"/>
      <w:pPr>
        <w:ind w:left="1440" w:hanging="360"/>
      </w:pPr>
      <w:rPr>
        <w:rFonts w:ascii="Times New Roman" w:hAnsi="Times New Roman" w:hint="default"/>
        <w:b w:val="0"/>
        <w:i w:val="0"/>
        <w:sz w:val="1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E391A"/>
    <w:multiLevelType w:val="hybridMultilevel"/>
    <w:tmpl w:val="ADAE6108"/>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AF6"/>
    <w:multiLevelType w:val="hybridMultilevel"/>
    <w:tmpl w:val="026AD8BC"/>
    <w:lvl w:ilvl="0" w:tplc="3B80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12652"/>
    <w:multiLevelType w:val="multilevel"/>
    <w:tmpl w:val="8DBA8F76"/>
    <w:lvl w:ilvl="0">
      <w:start w:val="1"/>
      <w:numFmt w:val="decimal"/>
      <w:lvlText w:val="%1."/>
      <w:lvlJc w:val="right"/>
      <w:pPr>
        <w:ind w:left="341" w:hanging="113"/>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7" w15:restartNumberingAfterBreak="0">
    <w:nsid w:val="1F9C6B7F"/>
    <w:multiLevelType w:val="hybridMultilevel"/>
    <w:tmpl w:val="C9FC66A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F1BD2"/>
    <w:multiLevelType w:val="hybridMultilevel"/>
    <w:tmpl w:val="0C9C1DF6"/>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11C17"/>
    <w:multiLevelType w:val="hybridMultilevel"/>
    <w:tmpl w:val="CEB808FC"/>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8673F"/>
    <w:multiLevelType w:val="hybridMultilevel"/>
    <w:tmpl w:val="3F6C85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45680"/>
    <w:multiLevelType w:val="multilevel"/>
    <w:tmpl w:val="886C2220"/>
    <w:lvl w:ilvl="0">
      <w:start w:val="1"/>
      <w:numFmt w:val="decimal"/>
      <w:lvlText w:val="%1."/>
      <w:lvlJc w:val="right"/>
      <w:pPr>
        <w:ind w:left="341" w:hanging="113"/>
      </w:pPr>
      <w:rPr>
        <w:u w:val="none"/>
      </w:rPr>
    </w:lvl>
    <w:lvl w:ilvl="1">
      <w:start w:val="1"/>
      <w:numFmt w:val="lowerLetter"/>
      <w:lvlText w:val="%2."/>
      <w:lvlJc w:val="left"/>
      <w:pPr>
        <w:ind w:left="1896" w:hanging="360"/>
      </w:pPr>
      <w:rPr>
        <w:u w:val="none"/>
      </w:rPr>
    </w:lvl>
    <w:lvl w:ilvl="2">
      <w:start w:val="1"/>
      <w:numFmt w:val="lowerRoman"/>
      <w:lvlText w:val="%3."/>
      <w:lvlJc w:val="right"/>
      <w:pPr>
        <w:ind w:left="2616" w:hanging="180"/>
      </w:pPr>
      <w:rPr>
        <w:u w:val="none"/>
      </w:rPr>
    </w:lvl>
    <w:lvl w:ilvl="3">
      <w:start w:val="1"/>
      <w:numFmt w:val="decimal"/>
      <w:lvlText w:val="%4."/>
      <w:lvlJc w:val="left"/>
      <w:pPr>
        <w:ind w:left="3336" w:hanging="360"/>
      </w:pPr>
      <w:rPr>
        <w:u w:val="none"/>
      </w:rPr>
    </w:lvl>
    <w:lvl w:ilvl="4">
      <w:start w:val="1"/>
      <w:numFmt w:val="lowerLetter"/>
      <w:lvlText w:val="%5."/>
      <w:lvlJc w:val="left"/>
      <w:pPr>
        <w:ind w:left="4056" w:hanging="360"/>
      </w:pPr>
      <w:rPr>
        <w:u w:val="none"/>
      </w:rPr>
    </w:lvl>
    <w:lvl w:ilvl="5">
      <w:start w:val="1"/>
      <w:numFmt w:val="lowerRoman"/>
      <w:lvlText w:val="%6."/>
      <w:lvlJc w:val="right"/>
      <w:pPr>
        <w:ind w:left="4776" w:hanging="180"/>
      </w:pPr>
      <w:rPr>
        <w:u w:val="none"/>
      </w:rPr>
    </w:lvl>
    <w:lvl w:ilvl="6">
      <w:start w:val="1"/>
      <w:numFmt w:val="decimal"/>
      <w:lvlText w:val="%7."/>
      <w:lvlJc w:val="left"/>
      <w:pPr>
        <w:ind w:left="5496" w:hanging="360"/>
      </w:pPr>
      <w:rPr>
        <w:u w:val="none"/>
      </w:rPr>
    </w:lvl>
    <w:lvl w:ilvl="7">
      <w:start w:val="1"/>
      <w:numFmt w:val="lowerLetter"/>
      <w:lvlText w:val="%8."/>
      <w:lvlJc w:val="left"/>
      <w:pPr>
        <w:ind w:left="6216" w:hanging="360"/>
      </w:pPr>
      <w:rPr>
        <w:u w:val="none"/>
      </w:rPr>
    </w:lvl>
    <w:lvl w:ilvl="8">
      <w:start w:val="1"/>
      <w:numFmt w:val="lowerRoman"/>
      <w:lvlText w:val="%9."/>
      <w:lvlJc w:val="right"/>
      <w:pPr>
        <w:ind w:left="6936" w:hanging="180"/>
      </w:pPr>
      <w:rPr>
        <w:u w:val="none"/>
      </w:rPr>
    </w:lvl>
  </w:abstractNum>
  <w:abstractNum w:abstractNumId="12" w15:restartNumberingAfterBreak="0">
    <w:nsid w:val="2C2A77FD"/>
    <w:multiLevelType w:val="hybridMultilevel"/>
    <w:tmpl w:val="051A2D36"/>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A3709"/>
    <w:multiLevelType w:val="hybridMultilevel"/>
    <w:tmpl w:val="3CCA9D8A"/>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96C7B"/>
    <w:multiLevelType w:val="hybridMultilevel"/>
    <w:tmpl w:val="E99A77C6"/>
    <w:lvl w:ilvl="0" w:tplc="04090001">
      <w:start w:val="1"/>
      <w:numFmt w:val="bullet"/>
      <w:lvlText w:val=""/>
      <w:lvlJc w:val="left"/>
      <w:pPr>
        <w:ind w:left="1440" w:hanging="360"/>
      </w:pPr>
      <w:rPr>
        <w:rFonts w:ascii="Symbol" w:hAnsi="Symbol" w:hint="default"/>
        <w:b w:val="0"/>
        <w:i w:val="0"/>
        <w:sz w:val="16"/>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34B047D"/>
    <w:multiLevelType w:val="multilevel"/>
    <w:tmpl w:val="EAD2FBDE"/>
    <w:styleLink w:val="CurrentList3"/>
    <w:lvl w:ilvl="0">
      <w:start w:val="1"/>
      <w:numFmt w:val="none"/>
      <w:lvlText w:val="TABLA I"/>
      <w:lvlJc w:val="left"/>
      <w:pPr>
        <w:ind w:left="1440" w:hanging="360"/>
      </w:pPr>
      <w:rPr>
        <w:rFonts w:ascii="Times New Roman" w:hAnsi="Times New Roman" w:hint="default"/>
        <w:b w:val="0"/>
        <w:i w:val="0"/>
        <w:sz w:val="16"/>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7FC7C50"/>
    <w:multiLevelType w:val="multilevel"/>
    <w:tmpl w:val="042672A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2B684F"/>
    <w:multiLevelType w:val="hybridMultilevel"/>
    <w:tmpl w:val="EAD2FBDE"/>
    <w:lvl w:ilvl="0" w:tplc="9FE48C9A">
      <w:start w:val="1"/>
      <w:numFmt w:val="none"/>
      <w:lvlText w:val="TABLA I"/>
      <w:lvlJc w:val="left"/>
      <w:pPr>
        <w:ind w:left="1440" w:hanging="360"/>
      </w:pPr>
      <w:rPr>
        <w:rFonts w:ascii="Times New Roman" w:hAnsi="Times New Roman" w:hint="default"/>
        <w:b w:val="0"/>
        <w:i w:val="0"/>
        <w:sz w:val="1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5B1E33"/>
    <w:multiLevelType w:val="multilevel"/>
    <w:tmpl w:val="893428CE"/>
    <w:styleLink w:val="CurrentList1"/>
    <w:lvl w:ilvl="0">
      <w:start w:val="1"/>
      <w:numFmt w:val="none"/>
      <w:lvlText w:val="Table 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D9D6259"/>
    <w:multiLevelType w:val="hybridMultilevel"/>
    <w:tmpl w:val="7CC2BB3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01ECF"/>
    <w:multiLevelType w:val="hybridMultilevel"/>
    <w:tmpl w:val="2AA67B80"/>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731B0"/>
    <w:multiLevelType w:val="hybridMultilevel"/>
    <w:tmpl w:val="EB92F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40C2"/>
    <w:multiLevelType w:val="hybridMultilevel"/>
    <w:tmpl w:val="436CEB4C"/>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6414009"/>
    <w:multiLevelType w:val="multilevel"/>
    <w:tmpl w:val="F1F87D58"/>
    <w:styleLink w:val="CurrentList7"/>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A4E374A"/>
    <w:multiLevelType w:val="multilevel"/>
    <w:tmpl w:val="F3406A10"/>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4118FC"/>
    <w:multiLevelType w:val="multilevel"/>
    <w:tmpl w:val="89FCF610"/>
    <w:styleLink w:val="CurrentList4"/>
    <w:lvl w:ilvl="0">
      <w:start w:val="1"/>
      <w:numFmt w:val="none"/>
      <w:lvlText w:val="TABLA I"/>
      <w:lvlJc w:val="left"/>
      <w:pPr>
        <w:ind w:left="1440" w:hanging="360"/>
      </w:pPr>
      <w:rPr>
        <w:rFonts w:ascii="Times New Roman" w:hAnsi="Times New Roman" w:hint="default"/>
        <w:b w:val="0"/>
        <w:i w:val="0"/>
        <w:sz w:val="16"/>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7753BDD"/>
    <w:multiLevelType w:val="multilevel"/>
    <w:tmpl w:val="3F6C85D6"/>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402C58"/>
    <w:multiLevelType w:val="hybridMultilevel"/>
    <w:tmpl w:val="A99A03DC"/>
    <w:lvl w:ilvl="0" w:tplc="FD381042">
      <w:start w:val="1"/>
      <w:numFmt w:val="decimal"/>
      <w:pStyle w:val="figurecaption"/>
      <w:lvlText w:val="Figura %1. "/>
      <w:lvlJc w:val="left"/>
      <w:pPr>
        <w:tabs>
          <w:tab w:val="num" w:pos="1080"/>
        </w:tabs>
        <w:ind w:left="36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4290CF4"/>
    <w:multiLevelType w:val="hybridMultilevel"/>
    <w:tmpl w:val="45A4F8E0"/>
    <w:lvl w:ilvl="0" w:tplc="04090001">
      <w:start w:val="1"/>
      <w:numFmt w:val="bullet"/>
      <w:lvlText w:val=""/>
      <w:lvlJc w:val="left"/>
      <w:pPr>
        <w:ind w:left="720" w:hanging="360"/>
      </w:pPr>
      <w:rPr>
        <w:rFonts w:ascii="Symbol" w:hAnsi="Symbol" w:hint="default"/>
        <w:b w:val="0"/>
        <w:i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94888"/>
    <w:multiLevelType w:val="hybridMultilevel"/>
    <w:tmpl w:val="6352AC7C"/>
    <w:lvl w:ilvl="0" w:tplc="9FE48C9A">
      <w:start w:val="1"/>
      <w:numFmt w:val="none"/>
      <w:lvlText w:val="TABLA I"/>
      <w:lvlJc w:val="left"/>
      <w:pPr>
        <w:ind w:left="1440" w:hanging="360"/>
      </w:pPr>
      <w:rPr>
        <w:rFonts w:ascii="Times New Roman" w:hAnsi="Times New Roman" w:hint="default"/>
        <w:b w:val="0"/>
        <w:i w:val="0"/>
        <w:sz w:val="1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537987">
    <w:abstractNumId w:val="30"/>
  </w:num>
  <w:num w:numId="2" w16cid:durableId="812989337">
    <w:abstractNumId w:val="18"/>
  </w:num>
  <w:num w:numId="3" w16cid:durableId="405033225">
    <w:abstractNumId w:val="2"/>
  </w:num>
  <w:num w:numId="4" w16cid:durableId="1223298150">
    <w:abstractNumId w:val="21"/>
  </w:num>
  <w:num w:numId="5" w16cid:durableId="87192025">
    <w:abstractNumId w:val="14"/>
  </w:num>
  <w:num w:numId="6" w16cid:durableId="1695963436">
    <w:abstractNumId w:val="17"/>
  </w:num>
  <w:num w:numId="7" w16cid:durableId="1047994936">
    <w:abstractNumId w:val="25"/>
  </w:num>
  <w:num w:numId="8" w16cid:durableId="1295065330">
    <w:abstractNumId w:val="0"/>
  </w:num>
  <w:num w:numId="9" w16cid:durableId="1056271480">
    <w:abstractNumId w:val="3"/>
  </w:num>
  <w:num w:numId="10" w16cid:durableId="1551303100">
    <w:abstractNumId w:val="15"/>
  </w:num>
  <w:num w:numId="11" w16cid:durableId="697896347">
    <w:abstractNumId w:val="26"/>
  </w:num>
  <w:num w:numId="12" w16cid:durableId="667638414">
    <w:abstractNumId w:val="7"/>
  </w:num>
  <w:num w:numId="13" w16cid:durableId="1349218780">
    <w:abstractNumId w:val="27"/>
  </w:num>
  <w:num w:numId="14" w16cid:durableId="1775712412">
    <w:abstractNumId w:val="16"/>
  </w:num>
  <w:num w:numId="15" w16cid:durableId="1222255428">
    <w:abstractNumId w:val="12"/>
  </w:num>
  <w:num w:numId="16" w16cid:durableId="958494432">
    <w:abstractNumId w:val="19"/>
  </w:num>
  <w:num w:numId="17" w16cid:durableId="1271232760">
    <w:abstractNumId w:val="28"/>
  </w:num>
  <w:num w:numId="18" w16cid:durableId="1504516095">
    <w:abstractNumId w:val="24"/>
  </w:num>
  <w:num w:numId="19" w16cid:durableId="1043209295">
    <w:abstractNumId w:val="28"/>
    <w:lvlOverride w:ilvl="0">
      <w:startOverride w:val="1"/>
    </w:lvlOverride>
  </w:num>
  <w:num w:numId="20" w16cid:durableId="661658329">
    <w:abstractNumId w:val="10"/>
  </w:num>
  <w:num w:numId="21" w16cid:durableId="601299748">
    <w:abstractNumId w:val="29"/>
  </w:num>
  <w:num w:numId="22" w16cid:durableId="726418171">
    <w:abstractNumId w:val="20"/>
  </w:num>
  <w:num w:numId="23" w16cid:durableId="1951467267">
    <w:abstractNumId w:val="8"/>
  </w:num>
  <w:num w:numId="24" w16cid:durableId="552935850">
    <w:abstractNumId w:val="13"/>
  </w:num>
  <w:num w:numId="25" w16cid:durableId="708071430">
    <w:abstractNumId w:val="22"/>
  </w:num>
  <w:num w:numId="26" w16cid:durableId="1145658530">
    <w:abstractNumId w:val="23"/>
  </w:num>
  <w:num w:numId="27" w16cid:durableId="151145843">
    <w:abstractNumId w:val="23"/>
  </w:num>
  <w:num w:numId="28" w16cid:durableId="1900438558">
    <w:abstractNumId w:val="9"/>
  </w:num>
  <w:num w:numId="29" w16cid:durableId="1127554053">
    <w:abstractNumId w:val="4"/>
  </w:num>
  <w:num w:numId="30" w16cid:durableId="649484155">
    <w:abstractNumId w:val="23"/>
  </w:num>
  <w:num w:numId="31" w16cid:durableId="168837368">
    <w:abstractNumId w:val="23"/>
  </w:num>
  <w:num w:numId="32" w16cid:durableId="614019945">
    <w:abstractNumId w:val="23"/>
  </w:num>
  <w:num w:numId="33" w16cid:durableId="1485584712">
    <w:abstractNumId w:val="23"/>
  </w:num>
  <w:num w:numId="34" w16cid:durableId="1744137012">
    <w:abstractNumId w:val="23"/>
  </w:num>
  <w:num w:numId="35" w16cid:durableId="655231280">
    <w:abstractNumId w:val="5"/>
  </w:num>
  <w:num w:numId="36" w16cid:durableId="624239385">
    <w:abstractNumId w:val="6"/>
  </w:num>
  <w:num w:numId="37" w16cid:durableId="394478577">
    <w:abstractNumId w:val="11"/>
  </w:num>
  <w:num w:numId="38" w16cid:durableId="2074424732">
    <w:abstractNumId w:val="1"/>
  </w:num>
  <w:num w:numId="39" w16cid:durableId="2071150840">
    <w:abstractNumId w:val="28"/>
  </w:num>
  <w:num w:numId="40" w16cid:durableId="10433618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2649"/>
    <w:rsid w:val="00001E31"/>
    <w:rsid w:val="00010BF5"/>
    <w:rsid w:val="00024130"/>
    <w:rsid w:val="00040282"/>
    <w:rsid w:val="00041B5E"/>
    <w:rsid w:val="00044C5D"/>
    <w:rsid w:val="00061B91"/>
    <w:rsid w:val="00062185"/>
    <w:rsid w:val="000623E0"/>
    <w:rsid w:val="00077F82"/>
    <w:rsid w:val="00086238"/>
    <w:rsid w:val="00094929"/>
    <w:rsid w:val="000A01BA"/>
    <w:rsid w:val="000B535D"/>
    <w:rsid w:val="000B5541"/>
    <w:rsid w:val="000C0F10"/>
    <w:rsid w:val="000C4FA3"/>
    <w:rsid w:val="000C5DA1"/>
    <w:rsid w:val="000C7917"/>
    <w:rsid w:val="000D15F9"/>
    <w:rsid w:val="000D4B47"/>
    <w:rsid w:val="000E09F0"/>
    <w:rsid w:val="001129D6"/>
    <w:rsid w:val="00117AEA"/>
    <w:rsid w:val="00117FF4"/>
    <w:rsid w:val="00130DC5"/>
    <w:rsid w:val="00134C07"/>
    <w:rsid w:val="0015069E"/>
    <w:rsid w:val="00153213"/>
    <w:rsid w:val="00153674"/>
    <w:rsid w:val="00154BCD"/>
    <w:rsid w:val="00160B36"/>
    <w:rsid w:val="00161261"/>
    <w:rsid w:val="001663A6"/>
    <w:rsid w:val="001673C9"/>
    <w:rsid w:val="001702AB"/>
    <w:rsid w:val="001946E7"/>
    <w:rsid w:val="00194793"/>
    <w:rsid w:val="00196862"/>
    <w:rsid w:val="00196F25"/>
    <w:rsid w:val="00196F80"/>
    <w:rsid w:val="0019723B"/>
    <w:rsid w:val="001977CF"/>
    <w:rsid w:val="001B771E"/>
    <w:rsid w:val="001C51DD"/>
    <w:rsid w:val="001D1507"/>
    <w:rsid w:val="001F24F6"/>
    <w:rsid w:val="002022B4"/>
    <w:rsid w:val="00203EF1"/>
    <w:rsid w:val="002077E6"/>
    <w:rsid w:val="0022706A"/>
    <w:rsid w:val="0024258D"/>
    <w:rsid w:val="00244ABD"/>
    <w:rsid w:val="002470E0"/>
    <w:rsid w:val="00254214"/>
    <w:rsid w:val="0027194E"/>
    <w:rsid w:val="002738BB"/>
    <w:rsid w:val="002910E3"/>
    <w:rsid w:val="00293C12"/>
    <w:rsid w:val="0029770E"/>
    <w:rsid w:val="002A64D3"/>
    <w:rsid w:val="002B72EE"/>
    <w:rsid w:val="002C106F"/>
    <w:rsid w:val="002C7987"/>
    <w:rsid w:val="002D4E1C"/>
    <w:rsid w:val="002F5E4A"/>
    <w:rsid w:val="002F6828"/>
    <w:rsid w:val="003109CF"/>
    <w:rsid w:val="00314E82"/>
    <w:rsid w:val="00322836"/>
    <w:rsid w:val="00336DA0"/>
    <w:rsid w:val="003444BF"/>
    <w:rsid w:val="00346FB7"/>
    <w:rsid w:val="0035240B"/>
    <w:rsid w:val="00355E0D"/>
    <w:rsid w:val="003561A7"/>
    <w:rsid w:val="00360207"/>
    <w:rsid w:val="003655ED"/>
    <w:rsid w:val="003675DC"/>
    <w:rsid w:val="0039257A"/>
    <w:rsid w:val="003A107F"/>
    <w:rsid w:val="003A79B8"/>
    <w:rsid w:val="003B0440"/>
    <w:rsid w:val="003B5FDD"/>
    <w:rsid w:val="003B62C8"/>
    <w:rsid w:val="003C65B1"/>
    <w:rsid w:val="003D7355"/>
    <w:rsid w:val="003E2609"/>
    <w:rsid w:val="003E5D97"/>
    <w:rsid w:val="003F354C"/>
    <w:rsid w:val="003F627A"/>
    <w:rsid w:val="004033E3"/>
    <w:rsid w:val="00406AE2"/>
    <w:rsid w:val="00421F96"/>
    <w:rsid w:val="0043331E"/>
    <w:rsid w:val="00455B40"/>
    <w:rsid w:val="0046205C"/>
    <w:rsid w:val="004704EB"/>
    <w:rsid w:val="004742AE"/>
    <w:rsid w:val="0047704B"/>
    <w:rsid w:val="004811A0"/>
    <w:rsid w:val="0048155C"/>
    <w:rsid w:val="004909C8"/>
    <w:rsid w:val="004959E6"/>
    <w:rsid w:val="004C4136"/>
    <w:rsid w:val="004D0B14"/>
    <w:rsid w:val="004D7E91"/>
    <w:rsid w:val="004E23AE"/>
    <w:rsid w:val="004F4D27"/>
    <w:rsid w:val="005029A4"/>
    <w:rsid w:val="0050517B"/>
    <w:rsid w:val="00505B63"/>
    <w:rsid w:val="005117F8"/>
    <w:rsid w:val="00511870"/>
    <w:rsid w:val="00513FC9"/>
    <w:rsid w:val="005224F2"/>
    <w:rsid w:val="00535384"/>
    <w:rsid w:val="005519E3"/>
    <w:rsid w:val="00551C35"/>
    <w:rsid w:val="00561569"/>
    <w:rsid w:val="00564746"/>
    <w:rsid w:val="00580494"/>
    <w:rsid w:val="00587557"/>
    <w:rsid w:val="0059458D"/>
    <w:rsid w:val="005A68B6"/>
    <w:rsid w:val="005A6FF8"/>
    <w:rsid w:val="005B043D"/>
    <w:rsid w:val="005B0B19"/>
    <w:rsid w:val="005B54BE"/>
    <w:rsid w:val="005B7167"/>
    <w:rsid w:val="005C45EF"/>
    <w:rsid w:val="005C5715"/>
    <w:rsid w:val="005C7BC3"/>
    <w:rsid w:val="005F051E"/>
    <w:rsid w:val="005F17E3"/>
    <w:rsid w:val="006164D3"/>
    <w:rsid w:val="00617AFD"/>
    <w:rsid w:val="00617E33"/>
    <w:rsid w:val="006266A7"/>
    <w:rsid w:val="0064437E"/>
    <w:rsid w:val="00657B1E"/>
    <w:rsid w:val="00680CEC"/>
    <w:rsid w:val="00683737"/>
    <w:rsid w:val="006867F5"/>
    <w:rsid w:val="00687EBE"/>
    <w:rsid w:val="006A23C9"/>
    <w:rsid w:val="006B0BBE"/>
    <w:rsid w:val="006B6365"/>
    <w:rsid w:val="006D5A8F"/>
    <w:rsid w:val="006D6843"/>
    <w:rsid w:val="006D76E2"/>
    <w:rsid w:val="006E3503"/>
    <w:rsid w:val="006E52CC"/>
    <w:rsid w:val="006F1EBE"/>
    <w:rsid w:val="006F3CBA"/>
    <w:rsid w:val="006F6349"/>
    <w:rsid w:val="006F7D9F"/>
    <w:rsid w:val="00701AA3"/>
    <w:rsid w:val="00706529"/>
    <w:rsid w:val="007374B5"/>
    <w:rsid w:val="00751ACB"/>
    <w:rsid w:val="0075229C"/>
    <w:rsid w:val="0075283B"/>
    <w:rsid w:val="00760B57"/>
    <w:rsid w:val="00763986"/>
    <w:rsid w:val="00766ABB"/>
    <w:rsid w:val="00767657"/>
    <w:rsid w:val="00770919"/>
    <w:rsid w:val="00770989"/>
    <w:rsid w:val="00771D53"/>
    <w:rsid w:val="00774BCD"/>
    <w:rsid w:val="0077725D"/>
    <w:rsid w:val="00783179"/>
    <w:rsid w:val="00784F8C"/>
    <w:rsid w:val="007B04BB"/>
    <w:rsid w:val="007B35D9"/>
    <w:rsid w:val="007B4B67"/>
    <w:rsid w:val="007C0185"/>
    <w:rsid w:val="007D32AB"/>
    <w:rsid w:val="007E2261"/>
    <w:rsid w:val="007F4828"/>
    <w:rsid w:val="00810138"/>
    <w:rsid w:val="00812649"/>
    <w:rsid w:val="0084008B"/>
    <w:rsid w:val="00840A20"/>
    <w:rsid w:val="0086712E"/>
    <w:rsid w:val="00870270"/>
    <w:rsid w:val="008874B1"/>
    <w:rsid w:val="008945B7"/>
    <w:rsid w:val="00895696"/>
    <w:rsid w:val="008971AA"/>
    <w:rsid w:val="008C227E"/>
    <w:rsid w:val="008E4731"/>
    <w:rsid w:val="008F4D7E"/>
    <w:rsid w:val="008F5F3F"/>
    <w:rsid w:val="00903001"/>
    <w:rsid w:val="009103CE"/>
    <w:rsid w:val="00924E7B"/>
    <w:rsid w:val="00927328"/>
    <w:rsid w:val="00935BDF"/>
    <w:rsid w:val="009461BE"/>
    <w:rsid w:val="00957292"/>
    <w:rsid w:val="009621A4"/>
    <w:rsid w:val="00967C45"/>
    <w:rsid w:val="009831A2"/>
    <w:rsid w:val="0098453C"/>
    <w:rsid w:val="00992038"/>
    <w:rsid w:val="00992C20"/>
    <w:rsid w:val="009A3AFA"/>
    <w:rsid w:val="009C0795"/>
    <w:rsid w:val="009C69C4"/>
    <w:rsid w:val="009C6B72"/>
    <w:rsid w:val="009D6645"/>
    <w:rsid w:val="009E419D"/>
    <w:rsid w:val="009E6D39"/>
    <w:rsid w:val="009F60D3"/>
    <w:rsid w:val="00A1700E"/>
    <w:rsid w:val="00A24607"/>
    <w:rsid w:val="00A26AE8"/>
    <w:rsid w:val="00A40BF1"/>
    <w:rsid w:val="00A44F22"/>
    <w:rsid w:val="00A517AD"/>
    <w:rsid w:val="00A75C0E"/>
    <w:rsid w:val="00A803B6"/>
    <w:rsid w:val="00A821DF"/>
    <w:rsid w:val="00A844AC"/>
    <w:rsid w:val="00A85C0B"/>
    <w:rsid w:val="00A864DE"/>
    <w:rsid w:val="00AA01F8"/>
    <w:rsid w:val="00AB2DE9"/>
    <w:rsid w:val="00AB3FB7"/>
    <w:rsid w:val="00AC20B9"/>
    <w:rsid w:val="00AD0916"/>
    <w:rsid w:val="00AD5778"/>
    <w:rsid w:val="00AE25E1"/>
    <w:rsid w:val="00AE3CD7"/>
    <w:rsid w:val="00AE5948"/>
    <w:rsid w:val="00AF2277"/>
    <w:rsid w:val="00B0136B"/>
    <w:rsid w:val="00B04F54"/>
    <w:rsid w:val="00B13AD8"/>
    <w:rsid w:val="00B16644"/>
    <w:rsid w:val="00B41884"/>
    <w:rsid w:val="00B47ECC"/>
    <w:rsid w:val="00B648A0"/>
    <w:rsid w:val="00B65F27"/>
    <w:rsid w:val="00B804E7"/>
    <w:rsid w:val="00B8125A"/>
    <w:rsid w:val="00B820F3"/>
    <w:rsid w:val="00B92BE8"/>
    <w:rsid w:val="00B93CB8"/>
    <w:rsid w:val="00B93F86"/>
    <w:rsid w:val="00B948D9"/>
    <w:rsid w:val="00BA2ED3"/>
    <w:rsid w:val="00BB1E92"/>
    <w:rsid w:val="00BB5027"/>
    <w:rsid w:val="00BB58EA"/>
    <w:rsid w:val="00BC6980"/>
    <w:rsid w:val="00BC6A98"/>
    <w:rsid w:val="00BD5EDC"/>
    <w:rsid w:val="00BE2CEC"/>
    <w:rsid w:val="00BE30E3"/>
    <w:rsid w:val="00BF2453"/>
    <w:rsid w:val="00BF488A"/>
    <w:rsid w:val="00C011EB"/>
    <w:rsid w:val="00C05A47"/>
    <w:rsid w:val="00C114E9"/>
    <w:rsid w:val="00C14D7E"/>
    <w:rsid w:val="00C176FF"/>
    <w:rsid w:val="00C34441"/>
    <w:rsid w:val="00C35486"/>
    <w:rsid w:val="00C4157E"/>
    <w:rsid w:val="00C419D3"/>
    <w:rsid w:val="00C47F2D"/>
    <w:rsid w:val="00C53A1A"/>
    <w:rsid w:val="00C7416A"/>
    <w:rsid w:val="00C76DBF"/>
    <w:rsid w:val="00C77AE2"/>
    <w:rsid w:val="00C84103"/>
    <w:rsid w:val="00C8746F"/>
    <w:rsid w:val="00C903A8"/>
    <w:rsid w:val="00CA0FB3"/>
    <w:rsid w:val="00CA6AFB"/>
    <w:rsid w:val="00CC0F4B"/>
    <w:rsid w:val="00CC207B"/>
    <w:rsid w:val="00CC3FAF"/>
    <w:rsid w:val="00CD14AB"/>
    <w:rsid w:val="00CD2C27"/>
    <w:rsid w:val="00CF35F1"/>
    <w:rsid w:val="00CF4390"/>
    <w:rsid w:val="00CF6E27"/>
    <w:rsid w:val="00D33E82"/>
    <w:rsid w:val="00D53059"/>
    <w:rsid w:val="00D60F78"/>
    <w:rsid w:val="00D6191B"/>
    <w:rsid w:val="00D67A8F"/>
    <w:rsid w:val="00D746DC"/>
    <w:rsid w:val="00D7559A"/>
    <w:rsid w:val="00D75B38"/>
    <w:rsid w:val="00D81A21"/>
    <w:rsid w:val="00D825E1"/>
    <w:rsid w:val="00D912CC"/>
    <w:rsid w:val="00DA005B"/>
    <w:rsid w:val="00DA1AF4"/>
    <w:rsid w:val="00DA4C0D"/>
    <w:rsid w:val="00DA63B3"/>
    <w:rsid w:val="00DC53AC"/>
    <w:rsid w:val="00DC664E"/>
    <w:rsid w:val="00DE5295"/>
    <w:rsid w:val="00DE5374"/>
    <w:rsid w:val="00DE6811"/>
    <w:rsid w:val="00DF0B1A"/>
    <w:rsid w:val="00DF1630"/>
    <w:rsid w:val="00DF62EC"/>
    <w:rsid w:val="00E01141"/>
    <w:rsid w:val="00E1118C"/>
    <w:rsid w:val="00E25959"/>
    <w:rsid w:val="00E36F43"/>
    <w:rsid w:val="00E41BCA"/>
    <w:rsid w:val="00E51011"/>
    <w:rsid w:val="00E56ABF"/>
    <w:rsid w:val="00E734C5"/>
    <w:rsid w:val="00E73547"/>
    <w:rsid w:val="00E95C8B"/>
    <w:rsid w:val="00EA1637"/>
    <w:rsid w:val="00EB6C0C"/>
    <w:rsid w:val="00EC2ADA"/>
    <w:rsid w:val="00EC49FD"/>
    <w:rsid w:val="00EE1814"/>
    <w:rsid w:val="00EF3A2E"/>
    <w:rsid w:val="00EF444D"/>
    <w:rsid w:val="00F001B0"/>
    <w:rsid w:val="00F03ACB"/>
    <w:rsid w:val="00F31F7E"/>
    <w:rsid w:val="00F40CC8"/>
    <w:rsid w:val="00F64FD0"/>
    <w:rsid w:val="00F65E28"/>
    <w:rsid w:val="00F760AE"/>
    <w:rsid w:val="00F76F30"/>
    <w:rsid w:val="00F778AA"/>
    <w:rsid w:val="00F807A0"/>
    <w:rsid w:val="00F812FA"/>
    <w:rsid w:val="00F918E4"/>
    <w:rsid w:val="00FA1BFE"/>
    <w:rsid w:val="00FA54CA"/>
    <w:rsid w:val="00FA5FC3"/>
    <w:rsid w:val="00FA7259"/>
    <w:rsid w:val="00FB5C91"/>
    <w:rsid w:val="00FC3CBC"/>
    <w:rsid w:val="00FC5C35"/>
    <w:rsid w:val="00FC72AF"/>
    <w:rsid w:val="00FD0824"/>
    <w:rsid w:val="00FD6CE9"/>
    <w:rsid w:val="00FE0545"/>
    <w:rsid w:val="00FE22D6"/>
    <w:rsid w:val="00FE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768E"/>
  <w15:docId w15:val="{7C8BDAF3-4B85-CA4A-B64A-CFCF724C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26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26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26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264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64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64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64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6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26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26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26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26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26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6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6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649"/>
    <w:rPr>
      <w:rFonts w:eastAsiaTheme="majorEastAsia" w:cstheme="majorBidi"/>
      <w:color w:val="272727" w:themeColor="text1" w:themeTint="D8"/>
    </w:rPr>
  </w:style>
  <w:style w:type="paragraph" w:styleId="Ttulo">
    <w:name w:val="Title"/>
    <w:basedOn w:val="Normal"/>
    <w:next w:val="Normal"/>
    <w:link w:val="TtuloCar"/>
    <w:uiPriority w:val="10"/>
    <w:qFormat/>
    <w:rsid w:val="0081264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6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64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6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64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12649"/>
    <w:rPr>
      <w:i/>
      <w:iCs/>
      <w:color w:val="404040" w:themeColor="text1" w:themeTint="BF"/>
    </w:rPr>
  </w:style>
  <w:style w:type="paragraph" w:styleId="Prrafodelista">
    <w:name w:val="List Paragraph"/>
    <w:basedOn w:val="Normal"/>
    <w:uiPriority w:val="34"/>
    <w:qFormat/>
    <w:rsid w:val="00812649"/>
    <w:pPr>
      <w:ind w:left="720"/>
      <w:contextualSpacing/>
    </w:pPr>
  </w:style>
  <w:style w:type="character" w:styleId="nfasisintenso">
    <w:name w:val="Intense Emphasis"/>
    <w:basedOn w:val="Fuentedeprrafopredeter"/>
    <w:uiPriority w:val="21"/>
    <w:qFormat/>
    <w:rsid w:val="00812649"/>
    <w:rPr>
      <w:i/>
      <w:iCs/>
      <w:color w:val="0F4761" w:themeColor="accent1" w:themeShade="BF"/>
    </w:rPr>
  </w:style>
  <w:style w:type="paragraph" w:styleId="Citadestacada">
    <w:name w:val="Intense Quote"/>
    <w:basedOn w:val="Normal"/>
    <w:next w:val="Normal"/>
    <w:link w:val="CitadestacadaCar"/>
    <w:uiPriority w:val="30"/>
    <w:qFormat/>
    <w:rsid w:val="0081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2649"/>
    <w:rPr>
      <w:i/>
      <w:iCs/>
      <w:color w:val="0F4761" w:themeColor="accent1" w:themeShade="BF"/>
    </w:rPr>
  </w:style>
  <w:style w:type="character" w:styleId="Referenciaintensa">
    <w:name w:val="Intense Reference"/>
    <w:basedOn w:val="Fuentedeprrafopredeter"/>
    <w:uiPriority w:val="32"/>
    <w:qFormat/>
    <w:rsid w:val="00812649"/>
    <w:rPr>
      <w:b/>
      <w:bCs/>
      <w:smallCaps/>
      <w:color w:val="0F4761" w:themeColor="accent1" w:themeShade="BF"/>
      <w:spacing w:val="5"/>
    </w:rPr>
  </w:style>
  <w:style w:type="paragraph" w:customStyle="1" w:styleId="papertitle">
    <w:name w:val="paper title"/>
    <w:rsid w:val="00812649"/>
    <w:pPr>
      <w:spacing w:after="120"/>
      <w:jc w:val="center"/>
    </w:pPr>
    <w:rPr>
      <w:rFonts w:ascii="Times New Roman" w:eastAsia="MS Mincho" w:hAnsi="Times New Roman" w:cs="Times New Roman"/>
      <w:noProof/>
      <w:kern w:val="0"/>
      <w:sz w:val="48"/>
      <w:szCs w:val="48"/>
      <w14:ligatures w14:val="none"/>
    </w:rPr>
  </w:style>
  <w:style w:type="paragraph" w:customStyle="1" w:styleId="Affiliation">
    <w:name w:val="Affiliation"/>
    <w:rsid w:val="00812649"/>
    <w:pPr>
      <w:jc w:val="center"/>
    </w:pPr>
    <w:rPr>
      <w:rFonts w:ascii="Times New Roman" w:eastAsia="SimSun" w:hAnsi="Times New Roman" w:cs="Times New Roman"/>
      <w:kern w:val="0"/>
      <w:sz w:val="20"/>
      <w:szCs w:val="20"/>
      <w14:ligatures w14:val="none"/>
    </w:rPr>
  </w:style>
  <w:style w:type="paragraph" w:customStyle="1" w:styleId="Author">
    <w:name w:val="Author"/>
    <w:rsid w:val="00812649"/>
    <w:pPr>
      <w:spacing w:before="360" w:after="40"/>
      <w:jc w:val="center"/>
    </w:pPr>
    <w:rPr>
      <w:rFonts w:ascii="Times New Roman" w:eastAsia="SimSun" w:hAnsi="Times New Roman" w:cs="Times New Roman"/>
      <w:noProof/>
      <w:kern w:val="0"/>
      <w:sz w:val="22"/>
      <w:szCs w:val="22"/>
      <w14:ligatures w14:val="none"/>
    </w:rPr>
  </w:style>
  <w:style w:type="paragraph" w:styleId="Textoindependiente">
    <w:name w:val="Body Text"/>
    <w:basedOn w:val="Normal"/>
    <w:link w:val="TextoindependienteCar"/>
    <w:rsid w:val="00812649"/>
    <w:pPr>
      <w:spacing w:line="228" w:lineRule="auto"/>
      <w:ind w:firstLine="288"/>
      <w:jc w:val="both"/>
    </w:pPr>
    <w:rPr>
      <w:rFonts w:ascii="Times New Roman" w:eastAsia="SimSun" w:hAnsi="Times New Roman" w:cs="Times New Roman"/>
      <w:spacing w:val="-1"/>
      <w:kern w:val="0"/>
      <w:sz w:val="20"/>
      <w:szCs w:val="20"/>
      <w14:ligatures w14:val="none"/>
    </w:rPr>
  </w:style>
  <w:style w:type="character" w:customStyle="1" w:styleId="TextoindependienteCar">
    <w:name w:val="Texto independiente Car"/>
    <w:basedOn w:val="Fuentedeprrafopredeter"/>
    <w:link w:val="Textoindependiente"/>
    <w:rsid w:val="00812649"/>
    <w:rPr>
      <w:rFonts w:ascii="Times New Roman" w:eastAsia="SimSun" w:hAnsi="Times New Roman" w:cs="Times New Roman"/>
      <w:spacing w:val="-1"/>
      <w:kern w:val="0"/>
      <w:sz w:val="20"/>
      <w:szCs w:val="20"/>
      <w:lang w:val="en-US"/>
      <w14:ligatures w14:val="none"/>
    </w:rPr>
  </w:style>
  <w:style w:type="character" w:styleId="Hipervnculo">
    <w:name w:val="Hyperlink"/>
    <w:basedOn w:val="Fuentedeprrafopredeter"/>
    <w:uiPriority w:val="99"/>
    <w:unhideWhenUsed/>
    <w:rsid w:val="00812649"/>
    <w:rPr>
      <w:color w:val="467886" w:themeColor="hyperlink"/>
      <w:u w:val="single"/>
    </w:rPr>
  </w:style>
  <w:style w:type="character" w:styleId="Mencinsinresolver">
    <w:name w:val="Unresolved Mention"/>
    <w:basedOn w:val="Fuentedeprrafopredeter"/>
    <w:uiPriority w:val="99"/>
    <w:semiHidden/>
    <w:unhideWhenUsed/>
    <w:rsid w:val="00812649"/>
    <w:rPr>
      <w:color w:val="605E5C"/>
      <w:shd w:val="clear" w:color="auto" w:fill="E1DFDD"/>
    </w:rPr>
  </w:style>
  <w:style w:type="character" w:styleId="Hipervnculovisitado">
    <w:name w:val="FollowedHyperlink"/>
    <w:basedOn w:val="Fuentedeprrafopredeter"/>
    <w:uiPriority w:val="99"/>
    <w:semiHidden/>
    <w:unhideWhenUsed/>
    <w:rsid w:val="00E51011"/>
    <w:rPr>
      <w:color w:val="96607D" w:themeColor="followedHyperlink"/>
      <w:u w:val="single"/>
    </w:rPr>
  </w:style>
  <w:style w:type="numbering" w:customStyle="1" w:styleId="CurrentList1">
    <w:name w:val="Current List1"/>
    <w:uiPriority w:val="99"/>
    <w:rsid w:val="006D5A8F"/>
    <w:pPr>
      <w:numPr>
        <w:numId w:val="2"/>
      </w:numPr>
    </w:pPr>
  </w:style>
  <w:style w:type="table" w:styleId="Tablaconcuadrcula">
    <w:name w:val="Table Grid"/>
    <w:basedOn w:val="Tablanormal"/>
    <w:uiPriority w:val="39"/>
    <w:rsid w:val="006D5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992C20"/>
    <w:pPr>
      <w:numPr>
        <w:numId w:val="7"/>
      </w:numPr>
    </w:pPr>
  </w:style>
  <w:style w:type="numbering" w:customStyle="1" w:styleId="CurrentList3">
    <w:name w:val="Current List3"/>
    <w:uiPriority w:val="99"/>
    <w:rsid w:val="00D6191B"/>
    <w:pPr>
      <w:numPr>
        <w:numId w:val="10"/>
      </w:numPr>
    </w:pPr>
  </w:style>
  <w:style w:type="numbering" w:customStyle="1" w:styleId="CurrentList4">
    <w:name w:val="Current List4"/>
    <w:uiPriority w:val="99"/>
    <w:rsid w:val="00D6191B"/>
    <w:pPr>
      <w:numPr>
        <w:numId w:val="11"/>
      </w:numPr>
    </w:pPr>
  </w:style>
  <w:style w:type="numbering" w:customStyle="1" w:styleId="CurrentList5">
    <w:name w:val="Current List5"/>
    <w:uiPriority w:val="99"/>
    <w:rsid w:val="00B93CB8"/>
    <w:pPr>
      <w:numPr>
        <w:numId w:val="13"/>
      </w:numPr>
    </w:pPr>
  </w:style>
  <w:style w:type="numbering" w:customStyle="1" w:styleId="CurrentList6">
    <w:name w:val="Current List6"/>
    <w:uiPriority w:val="99"/>
    <w:rsid w:val="00B93CB8"/>
    <w:pPr>
      <w:numPr>
        <w:numId w:val="14"/>
      </w:numPr>
    </w:pPr>
  </w:style>
  <w:style w:type="paragraph" w:customStyle="1" w:styleId="figurecaption">
    <w:name w:val="figure caption"/>
    <w:rsid w:val="000D4B47"/>
    <w:pPr>
      <w:numPr>
        <w:numId w:val="17"/>
      </w:numPr>
      <w:spacing w:before="80" w:after="200"/>
      <w:jc w:val="center"/>
    </w:pPr>
    <w:rPr>
      <w:rFonts w:ascii="Times New Roman" w:eastAsia="SimSun" w:hAnsi="Times New Roman" w:cs="Times New Roman"/>
      <w:noProof/>
      <w:kern w:val="0"/>
      <w:sz w:val="16"/>
      <w:szCs w:val="16"/>
      <w14:ligatures w14:val="none"/>
    </w:rPr>
  </w:style>
  <w:style w:type="numbering" w:customStyle="1" w:styleId="CurrentList7">
    <w:name w:val="Current List7"/>
    <w:uiPriority w:val="99"/>
    <w:rsid w:val="00783179"/>
    <w:pPr>
      <w:numPr>
        <w:numId w:val="18"/>
      </w:numPr>
    </w:pPr>
  </w:style>
  <w:style w:type="paragraph" w:customStyle="1" w:styleId="references">
    <w:name w:val="references"/>
    <w:rsid w:val="00DA63B3"/>
    <w:pPr>
      <w:numPr>
        <w:numId w:val="26"/>
      </w:numPr>
      <w:spacing w:after="50" w:line="180" w:lineRule="exact"/>
      <w:jc w:val="both"/>
    </w:pPr>
    <w:rPr>
      <w:rFonts w:ascii="Times New Roman" w:eastAsia="MS Mincho" w:hAnsi="Times New Roman" w:cs="Times New Roman"/>
      <w:noProof/>
      <w:kern w:val="0"/>
      <w:sz w:val="16"/>
      <w:szCs w:val="16"/>
      <w14:ligatures w14:val="none"/>
    </w:rPr>
  </w:style>
  <w:style w:type="paragraph" w:customStyle="1" w:styleId="p1">
    <w:name w:val="p1"/>
    <w:basedOn w:val="Normal"/>
    <w:rsid w:val="005117F8"/>
    <w:rPr>
      <w:rFonts w:ascii="Times New Roman" w:eastAsia="Times New Roman" w:hAnsi="Times New Roman" w:cs="Times New Roman"/>
      <w:color w:val="000000"/>
      <w:kern w:val="0"/>
      <w:sz w:val="12"/>
      <w:szCs w:val="12"/>
      <w:lang w:val="es-MX" w:eastAsia="es-MX"/>
      <w14:ligatures w14:val="none"/>
    </w:rPr>
  </w:style>
  <w:style w:type="character" w:customStyle="1" w:styleId="apple-converted-space">
    <w:name w:val="apple-converted-space"/>
    <w:basedOn w:val="Fuentedeprrafopredeter"/>
    <w:rsid w:val="005117F8"/>
  </w:style>
  <w:style w:type="paragraph" w:styleId="Encabezado">
    <w:name w:val="header"/>
    <w:basedOn w:val="Normal"/>
    <w:link w:val="EncabezadoCar"/>
    <w:uiPriority w:val="99"/>
    <w:unhideWhenUsed/>
    <w:rsid w:val="0035240B"/>
    <w:pPr>
      <w:tabs>
        <w:tab w:val="center" w:pos="4419"/>
        <w:tab w:val="right" w:pos="8838"/>
      </w:tabs>
    </w:pPr>
  </w:style>
  <w:style w:type="character" w:customStyle="1" w:styleId="EncabezadoCar">
    <w:name w:val="Encabezado Car"/>
    <w:basedOn w:val="Fuentedeprrafopredeter"/>
    <w:link w:val="Encabezado"/>
    <w:uiPriority w:val="99"/>
    <w:rsid w:val="0035240B"/>
  </w:style>
  <w:style w:type="paragraph" w:styleId="Piedepgina">
    <w:name w:val="footer"/>
    <w:basedOn w:val="Normal"/>
    <w:link w:val="PiedepginaCar"/>
    <w:uiPriority w:val="99"/>
    <w:unhideWhenUsed/>
    <w:rsid w:val="0035240B"/>
    <w:pPr>
      <w:tabs>
        <w:tab w:val="center" w:pos="4419"/>
        <w:tab w:val="right" w:pos="8838"/>
      </w:tabs>
    </w:pPr>
  </w:style>
  <w:style w:type="character" w:customStyle="1" w:styleId="PiedepginaCar">
    <w:name w:val="Pie de página Car"/>
    <w:basedOn w:val="Fuentedeprrafopredeter"/>
    <w:link w:val="Piedepgina"/>
    <w:uiPriority w:val="99"/>
    <w:rsid w:val="0035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990">
      <w:bodyDiv w:val="1"/>
      <w:marLeft w:val="0"/>
      <w:marRight w:val="0"/>
      <w:marTop w:val="0"/>
      <w:marBottom w:val="0"/>
      <w:divBdr>
        <w:top w:val="none" w:sz="0" w:space="0" w:color="auto"/>
        <w:left w:val="none" w:sz="0" w:space="0" w:color="auto"/>
        <w:bottom w:val="none" w:sz="0" w:space="0" w:color="auto"/>
        <w:right w:val="none" w:sz="0" w:space="0" w:color="auto"/>
      </w:divBdr>
    </w:div>
    <w:div w:id="426850854">
      <w:bodyDiv w:val="1"/>
      <w:marLeft w:val="0"/>
      <w:marRight w:val="0"/>
      <w:marTop w:val="0"/>
      <w:marBottom w:val="0"/>
      <w:divBdr>
        <w:top w:val="none" w:sz="0" w:space="0" w:color="auto"/>
        <w:left w:val="none" w:sz="0" w:space="0" w:color="auto"/>
        <w:bottom w:val="none" w:sz="0" w:space="0" w:color="auto"/>
        <w:right w:val="none" w:sz="0" w:space="0" w:color="auto"/>
      </w:divBdr>
    </w:div>
    <w:div w:id="638264183">
      <w:bodyDiv w:val="1"/>
      <w:marLeft w:val="0"/>
      <w:marRight w:val="0"/>
      <w:marTop w:val="0"/>
      <w:marBottom w:val="0"/>
      <w:divBdr>
        <w:top w:val="none" w:sz="0" w:space="0" w:color="auto"/>
        <w:left w:val="none" w:sz="0" w:space="0" w:color="auto"/>
        <w:bottom w:val="none" w:sz="0" w:space="0" w:color="auto"/>
        <w:right w:val="none" w:sz="0" w:space="0" w:color="auto"/>
      </w:divBdr>
    </w:div>
    <w:div w:id="924456951">
      <w:bodyDiv w:val="1"/>
      <w:marLeft w:val="0"/>
      <w:marRight w:val="0"/>
      <w:marTop w:val="0"/>
      <w:marBottom w:val="0"/>
      <w:divBdr>
        <w:top w:val="none" w:sz="0" w:space="0" w:color="auto"/>
        <w:left w:val="none" w:sz="0" w:space="0" w:color="auto"/>
        <w:bottom w:val="none" w:sz="0" w:space="0" w:color="auto"/>
        <w:right w:val="none" w:sz="0" w:space="0" w:color="auto"/>
      </w:divBdr>
    </w:div>
    <w:div w:id="936987559">
      <w:bodyDiv w:val="1"/>
      <w:marLeft w:val="0"/>
      <w:marRight w:val="0"/>
      <w:marTop w:val="0"/>
      <w:marBottom w:val="0"/>
      <w:divBdr>
        <w:top w:val="none" w:sz="0" w:space="0" w:color="auto"/>
        <w:left w:val="none" w:sz="0" w:space="0" w:color="auto"/>
        <w:bottom w:val="none" w:sz="0" w:space="0" w:color="auto"/>
        <w:right w:val="none" w:sz="0" w:space="0" w:color="auto"/>
      </w:divBdr>
    </w:div>
    <w:div w:id="978806896">
      <w:bodyDiv w:val="1"/>
      <w:marLeft w:val="0"/>
      <w:marRight w:val="0"/>
      <w:marTop w:val="0"/>
      <w:marBottom w:val="0"/>
      <w:divBdr>
        <w:top w:val="none" w:sz="0" w:space="0" w:color="auto"/>
        <w:left w:val="none" w:sz="0" w:space="0" w:color="auto"/>
        <w:bottom w:val="none" w:sz="0" w:space="0" w:color="auto"/>
        <w:right w:val="none" w:sz="0" w:space="0" w:color="auto"/>
      </w:divBdr>
    </w:div>
    <w:div w:id="1234316501">
      <w:bodyDiv w:val="1"/>
      <w:marLeft w:val="0"/>
      <w:marRight w:val="0"/>
      <w:marTop w:val="0"/>
      <w:marBottom w:val="0"/>
      <w:divBdr>
        <w:top w:val="none" w:sz="0" w:space="0" w:color="auto"/>
        <w:left w:val="none" w:sz="0" w:space="0" w:color="auto"/>
        <w:bottom w:val="none" w:sz="0" w:space="0" w:color="auto"/>
        <w:right w:val="none" w:sz="0" w:space="0" w:color="auto"/>
      </w:divBdr>
    </w:div>
    <w:div w:id="1547796226">
      <w:bodyDiv w:val="1"/>
      <w:marLeft w:val="0"/>
      <w:marRight w:val="0"/>
      <w:marTop w:val="0"/>
      <w:marBottom w:val="0"/>
      <w:divBdr>
        <w:top w:val="none" w:sz="0" w:space="0" w:color="auto"/>
        <w:left w:val="none" w:sz="0" w:space="0" w:color="auto"/>
        <w:bottom w:val="none" w:sz="0" w:space="0" w:color="auto"/>
        <w:right w:val="none" w:sz="0" w:space="0" w:color="auto"/>
      </w:divBdr>
    </w:div>
    <w:div w:id="1746104504">
      <w:bodyDiv w:val="1"/>
      <w:marLeft w:val="0"/>
      <w:marRight w:val="0"/>
      <w:marTop w:val="0"/>
      <w:marBottom w:val="0"/>
      <w:divBdr>
        <w:top w:val="none" w:sz="0" w:space="0" w:color="auto"/>
        <w:left w:val="none" w:sz="0" w:space="0" w:color="auto"/>
        <w:bottom w:val="none" w:sz="0" w:space="0" w:color="auto"/>
        <w:right w:val="none" w:sz="0" w:space="0" w:color="auto"/>
      </w:divBdr>
    </w:div>
    <w:div w:id="2037534327">
      <w:bodyDiv w:val="1"/>
      <w:marLeft w:val="0"/>
      <w:marRight w:val="0"/>
      <w:marTop w:val="0"/>
      <w:marBottom w:val="0"/>
      <w:divBdr>
        <w:top w:val="none" w:sz="0" w:space="0" w:color="auto"/>
        <w:left w:val="none" w:sz="0" w:space="0" w:color="auto"/>
        <w:bottom w:val="none" w:sz="0" w:space="0" w:color="auto"/>
        <w:right w:val="none" w:sz="0" w:space="0" w:color="auto"/>
      </w:divBdr>
    </w:div>
    <w:div w:id="204146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9266-6587" TargetMode="External"/><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16</Pages>
  <Words>6366</Words>
  <Characters>35014</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GMO MOLERO CASTILLO</dc:creator>
  <cp:keywords/>
  <dc:description/>
  <cp:lastModifiedBy>Francisco Santillan Campos</cp:lastModifiedBy>
  <cp:revision>43</cp:revision>
  <cp:lastPrinted>2026-06-09T17:31:00Z</cp:lastPrinted>
  <dcterms:created xsi:type="dcterms:W3CDTF">2026-04-27T17:35:00Z</dcterms:created>
  <dcterms:modified xsi:type="dcterms:W3CDTF">2026-06-09T17:32:00Z</dcterms:modified>
</cp:coreProperties>
</file>