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32DF" w14:textId="1B53C9C1" w:rsidR="00316E1C" w:rsidRPr="00CA732C" w:rsidRDefault="00316E1C" w:rsidP="00316E1C">
      <w:pPr>
        <w:pStyle w:val="Ttulo1"/>
        <w:jc w:val="right"/>
        <w:rPr>
          <w:b w:val="0"/>
          <w:bCs w:val="0"/>
          <w:i/>
          <w:iCs/>
          <w:sz w:val="24"/>
          <w:szCs w:val="24"/>
        </w:rPr>
      </w:pPr>
      <w:bookmarkStart w:id="0" w:name="Xcb24fd69515f47eaaec092574b9a4136d916239"/>
      <w:r w:rsidRPr="005936AD">
        <w:rPr>
          <w:noProof/>
          <w:sz w:val="24"/>
          <w:szCs w:val="24"/>
        </w:rPr>
        <w:drawing>
          <wp:anchor distT="0" distB="0" distL="114300" distR="114300" simplePos="0" relativeHeight="251659264" behindDoc="1" locked="0" layoutInCell="1" allowOverlap="1" wp14:anchorId="6BDC9624" wp14:editId="20AB1327">
            <wp:simplePos x="0" y="0"/>
            <wp:positionH relativeFrom="page">
              <wp:posOffset>-74930</wp:posOffset>
            </wp:positionH>
            <wp:positionV relativeFrom="margin">
              <wp:posOffset>-624840</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CA732C">
          <w:rPr>
            <w:rStyle w:val="Hipervnculo"/>
            <w:i/>
            <w:iCs/>
            <w:color w:val="auto"/>
            <w:sz w:val="24"/>
            <w:szCs w:val="24"/>
            <w:u w:val="none"/>
          </w:rPr>
          <w:t>https://doi.org/</w:t>
        </w:r>
      </w:hyperlink>
      <w:r w:rsidR="00E35FF3" w:rsidRPr="00E35FF3">
        <w:rPr>
          <w:i/>
          <w:iCs/>
          <w:sz w:val="24"/>
          <w:szCs w:val="24"/>
        </w:rPr>
        <w:t>10.23913/</w:t>
      </w:r>
      <w:proofErr w:type="gramStart"/>
      <w:r w:rsidR="00E35FF3" w:rsidRPr="00E35FF3">
        <w:rPr>
          <w:i/>
          <w:iCs/>
          <w:sz w:val="24"/>
          <w:szCs w:val="24"/>
        </w:rPr>
        <w:t>ctes.v</w:t>
      </w:r>
      <w:proofErr w:type="gramEnd"/>
      <w:r w:rsidR="00E35FF3" w:rsidRPr="00E35FF3">
        <w:rPr>
          <w:i/>
          <w:iCs/>
          <w:sz w:val="24"/>
          <w:szCs w:val="24"/>
        </w:rPr>
        <w:t>13i25.924.</w:t>
      </w:r>
    </w:p>
    <w:p w14:paraId="2F83BC53" w14:textId="77777777" w:rsidR="00316E1C" w:rsidRPr="00160354" w:rsidRDefault="00316E1C" w:rsidP="00316E1C">
      <w:pPr>
        <w:jc w:val="right"/>
        <w:rPr>
          <w:b/>
          <w:bCs/>
          <w:i/>
          <w:iCs/>
        </w:rPr>
      </w:pPr>
      <w:r w:rsidRPr="00160354">
        <w:rPr>
          <w:b/>
          <w:bCs/>
          <w:i/>
          <w:iCs/>
        </w:rPr>
        <w:t>Artículos científicos</w:t>
      </w:r>
    </w:p>
    <w:p w14:paraId="0A43D693" w14:textId="77777777" w:rsidR="00C62324" w:rsidRDefault="00C62324" w:rsidP="00C62324">
      <w:pPr>
        <w:pStyle w:val="Ttulo1"/>
        <w:spacing w:before="0" w:after="0"/>
        <w:rPr>
          <w:color w:val="auto"/>
          <w:sz w:val="28"/>
          <w:szCs w:val="28"/>
        </w:rPr>
      </w:pPr>
    </w:p>
    <w:p w14:paraId="6C58A507" w14:textId="77777777" w:rsidR="00C62324" w:rsidRDefault="00C62324" w:rsidP="00C62324">
      <w:pPr>
        <w:pStyle w:val="Ttulo1"/>
        <w:spacing w:before="0" w:after="0"/>
        <w:rPr>
          <w:color w:val="auto"/>
          <w:sz w:val="28"/>
          <w:szCs w:val="28"/>
        </w:rPr>
      </w:pPr>
    </w:p>
    <w:p w14:paraId="7690A2BD" w14:textId="678B76C7" w:rsidR="00FF5C42" w:rsidRPr="00C62324" w:rsidRDefault="00C07C81" w:rsidP="00C62324">
      <w:pPr>
        <w:pStyle w:val="Ttulo1"/>
        <w:spacing w:before="0" w:after="0"/>
        <w:rPr>
          <w:color w:val="auto"/>
          <w:sz w:val="28"/>
          <w:szCs w:val="28"/>
        </w:rPr>
      </w:pPr>
      <w:r w:rsidRPr="00C62324">
        <w:rPr>
          <w:color w:val="auto"/>
          <w:sz w:val="28"/>
          <w:szCs w:val="28"/>
        </w:rPr>
        <w:t>El papel del diseño industrial en la educación tecnológica en México: formación, innovación y propiedad intelectual</w:t>
      </w:r>
    </w:p>
    <w:p w14:paraId="737D9C63" w14:textId="2093A63F" w:rsidR="00C62324" w:rsidRPr="00C62324" w:rsidRDefault="00C62324" w:rsidP="00C62324">
      <w:pPr>
        <w:pStyle w:val="Ttulo1"/>
        <w:spacing w:before="0" w:after="0"/>
        <w:rPr>
          <w:b w:val="0"/>
          <w:bCs w:val="0"/>
          <w:i/>
          <w:iCs/>
          <w:color w:val="auto"/>
          <w:sz w:val="24"/>
          <w:szCs w:val="24"/>
        </w:rPr>
      </w:pPr>
      <w:r w:rsidRPr="00C62324">
        <w:rPr>
          <w:b w:val="0"/>
          <w:bCs w:val="0"/>
          <w:i/>
          <w:iCs/>
          <w:color w:val="auto"/>
          <w:sz w:val="24"/>
          <w:szCs w:val="24"/>
        </w:rPr>
        <w:t xml:space="preserve">The Role </w:t>
      </w:r>
      <w:proofErr w:type="spellStart"/>
      <w:r w:rsidRPr="00C62324">
        <w:rPr>
          <w:b w:val="0"/>
          <w:bCs w:val="0"/>
          <w:i/>
          <w:iCs/>
          <w:color w:val="auto"/>
          <w:sz w:val="24"/>
          <w:szCs w:val="24"/>
        </w:rPr>
        <w:t>of</w:t>
      </w:r>
      <w:proofErr w:type="spellEnd"/>
      <w:r w:rsidRPr="00C62324">
        <w:rPr>
          <w:b w:val="0"/>
          <w:bCs w:val="0"/>
          <w:i/>
          <w:iCs/>
          <w:color w:val="auto"/>
          <w:sz w:val="24"/>
          <w:szCs w:val="24"/>
        </w:rPr>
        <w:t xml:space="preserve"> Industrial </w:t>
      </w:r>
      <w:proofErr w:type="spellStart"/>
      <w:r w:rsidRPr="00C62324">
        <w:rPr>
          <w:b w:val="0"/>
          <w:bCs w:val="0"/>
          <w:i/>
          <w:iCs/>
          <w:color w:val="auto"/>
          <w:sz w:val="24"/>
          <w:szCs w:val="24"/>
        </w:rPr>
        <w:t>Design</w:t>
      </w:r>
      <w:proofErr w:type="spellEnd"/>
      <w:r w:rsidRPr="00C62324">
        <w:rPr>
          <w:b w:val="0"/>
          <w:bCs w:val="0"/>
          <w:i/>
          <w:iCs/>
          <w:color w:val="auto"/>
          <w:sz w:val="24"/>
          <w:szCs w:val="24"/>
        </w:rPr>
        <w:t xml:space="preserve"> in </w:t>
      </w:r>
      <w:proofErr w:type="spellStart"/>
      <w:r w:rsidRPr="00C62324">
        <w:rPr>
          <w:b w:val="0"/>
          <w:bCs w:val="0"/>
          <w:i/>
          <w:iCs/>
          <w:color w:val="auto"/>
          <w:sz w:val="24"/>
          <w:szCs w:val="24"/>
        </w:rPr>
        <w:t>Technological</w:t>
      </w:r>
      <w:proofErr w:type="spellEnd"/>
      <w:r w:rsidRPr="00C62324">
        <w:rPr>
          <w:b w:val="0"/>
          <w:bCs w:val="0"/>
          <w:i/>
          <w:iCs/>
          <w:color w:val="auto"/>
          <w:sz w:val="24"/>
          <w:szCs w:val="24"/>
        </w:rPr>
        <w:t xml:space="preserve"> </w:t>
      </w:r>
      <w:proofErr w:type="spellStart"/>
      <w:r w:rsidRPr="00C62324">
        <w:rPr>
          <w:b w:val="0"/>
          <w:bCs w:val="0"/>
          <w:i/>
          <w:iCs/>
          <w:color w:val="auto"/>
          <w:sz w:val="24"/>
          <w:szCs w:val="24"/>
        </w:rPr>
        <w:t>Education</w:t>
      </w:r>
      <w:proofErr w:type="spellEnd"/>
      <w:r w:rsidRPr="00C62324">
        <w:rPr>
          <w:b w:val="0"/>
          <w:bCs w:val="0"/>
          <w:i/>
          <w:iCs/>
          <w:color w:val="auto"/>
          <w:sz w:val="24"/>
          <w:szCs w:val="24"/>
        </w:rPr>
        <w:t xml:space="preserve"> in Mexico: Training, </w:t>
      </w:r>
      <w:proofErr w:type="spellStart"/>
      <w:r w:rsidRPr="00C62324">
        <w:rPr>
          <w:b w:val="0"/>
          <w:bCs w:val="0"/>
          <w:i/>
          <w:iCs/>
          <w:color w:val="auto"/>
          <w:sz w:val="24"/>
          <w:szCs w:val="24"/>
        </w:rPr>
        <w:t>Innovation</w:t>
      </w:r>
      <w:proofErr w:type="spellEnd"/>
      <w:r w:rsidRPr="00C62324">
        <w:rPr>
          <w:b w:val="0"/>
          <w:bCs w:val="0"/>
          <w:i/>
          <w:iCs/>
          <w:color w:val="auto"/>
          <w:sz w:val="24"/>
          <w:szCs w:val="24"/>
        </w:rPr>
        <w:t xml:space="preserve">, and </w:t>
      </w:r>
      <w:proofErr w:type="spellStart"/>
      <w:r w:rsidRPr="00C62324">
        <w:rPr>
          <w:b w:val="0"/>
          <w:bCs w:val="0"/>
          <w:i/>
          <w:iCs/>
          <w:color w:val="auto"/>
          <w:sz w:val="24"/>
          <w:szCs w:val="24"/>
        </w:rPr>
        <w:t>Intellectual</w:t>
      </w:r>
      <w:proofErr w:type="spellEnd"/>
      <w:r w:rsidRPr="00C62324">
        <w:rPr>
          <w:b w:val="0"/>
          <w:bCs w:val="0"/>
          <w:i/>
          <w:iCs/>
          <w:color w:val="auto"/>
          <w:sz w:val="24"/>
          <w:szCs w:val="24"/>
        </w:rPr>
        <w:t xml:space="preserve"> </w:t>
      </w:r>
      <w:proofErr w:type="spellStart"/>
      <w:r w:rsidRPr="00C62324">
        <w:rPr>
          <w:b w:val="0"/>
          <w:bCs w:val="0"/>
          <w:i/>
          <w:iCs/>
          <w:color w:val="auto"/>
          <w:sz w:val="24"/>
          <w:szCs w:val="24"/>
        </w:rPr>
        <w:t>Property</w:t>
      </w:r>
      <w:proofErr w:type="spellEnd"/>
    </w:p>
    <w:p w14:paraId="1AF0D77D" w14:textId="77777777" w:rsidR="00466204" w:rsidRPr="003F7238" w:rsidRDefault="00466204" w:rsidP="003F7238">
      <w:pPr>
        <w:pStyle w:val="Ttulo1"/>
        <w:rPr>
          <w:sz w:val="28"/>
          <w:szCs w:val="28"/>
        </w:rPr>
      </w:pPr>
    </w:p>
    <w:p w14:paraId="7690A2BE" w14:textId="5ECA0645" w:rsidR="00FF5C42" w:rsidRPr="004035CF" w:rsidRDefault="003F7238" w:rsidP="003F7238">
      <w:pPr>
        <w:jc w:val="right"/>
      </w:pPr>
      <w:r w:rsidRPr="004035CF">
        <w:rPr>
          <w:rFonts w:eastAsia="Arial"/>
          <w:b/>
          <w:bCs/>
        </w:rPr>
        <w:t xml:space="preserve">David Alberto </w:t>
      </w:r>
      <w:r w:rsidR="00C07C81" w:rsidRPr="004035CF">
        <w:rPr>
          <w:rFonts w:eastAsia="Arial"/>
          <w:b/>
          <w:bCs/>
        </w:rPr>
        <w:t xml:space="preserve">Garza Sáenz </w:t>
      </w:r>
    </w:p>
    <w:p w14:paraId="7690A2BF" w14:textId="77777777" w:rsidR="00FF5C42" w:rsidRPr="004035CF" w:rsidRDefault="00C07C81" w:rsidP="003F7238">
      <w:pPr>
        <w:jc w:val="right"/>
      </w:pPr>
      <w:r w:rsidRPr="004035CF">
        <w:rPr>
          <w:rFonts w:eastAsia="Arial"/>
        </w:rPr>
        <w:t>Tecnológico Nacional de México/I. T. de Ciudad Juárez</w:t>
      </w:r>
    </w:p>
    <w:p w14:paraId="7690A2C0" w14:textId="76E330A5" w:rsidR="00FF5C42" w:rsidRPr="003F7238" w:rsidRDefault="003F7238" w:rsidP="003F7238">
      <w:pPr>
        <w:jc w:val="right"/>
        <w:rPr>
          <w:color w:val="EE0000"/>
        </w:rPr>
      </w:pPr>
      <w:r>
        <w:rPr>
          <w:rFonts w:eastAsia="Arial"/>
          <w:color w:val="EE0000"/>
        </w:rPr>
        <w:t>d</w:t>
      </w:r>
      <w:r w:rsidR="00C07C81" w:rsidRPr="003F7238">
        <w:rPr>
          <w:rFonts w:eastAsia="Arial"/>
          <w:color w:val="EE0000"/>
        </w:rPr>
        <w:t>avid.gs01@cdjuarez.tecnm.mx</w:t>
      </w:r>
    </w:p>
    <w:p w14:paraId="7690A2C1" w14:textId="29610A6A" w:rsidR="00FF5C42" w:rsidRPr="004035CF" w:rsidRDefault="003F7238" w:rsidP="003F7238">
      <w:pPr>
        <w:jc w:val="right"/>
      </w:pPr>
      <w:r w:rsidRPr="004035CF">
        <w:t>https://orcid.org/</w:t>
      </w:r>
      <w:r w:rsidR="00C07C81" w:rsidRPr="004035CF">
        <w:rPr>
          <w:rFonts w:eastAsia="Arial"/>
        </w:rPr>
        <w:t>0000-0001-9025-0617</w:t>
      </w:r>
    </w:p>
    <w:p w14:paraId="7690A2C2" w14:textId="77777777" w:rsidR="00FF5C42" w:rsidRPr="004035CF" w:rsidRDefault="00FF5C42" w:rsidP="003F7238"/>
    <w:p w14:paraId="7690A2C3" w14:textId="4F7ABA65" w:rsidR="00FF5C42" w:rsidRPr="004035CF" w:rsidRDefault="003F7238" w:rsidP="003F7238">
      <w:pPr>
        <w:jc w:val="right"/>
        <w:rPr>
          <w:b/>
          <w:bCs/>
        </w:rPr>
      </w:pPr>
      <w:r w:rsidRPr="004035CF">
        <w:rPr>
          <w:rFonts w:eastAsia="Arial"/>
          <w:b/>
          <w:bCs/>
        </w:rPr>
        <w:t xml:space="preserve">María del Rosario </w:t>
      </w:r>
      <w:r w:rsidR="00C07C81" w:rsidRPr="004035CF">
        <w:rPr>
          <w:rFonts w:eastAsia="Arial"/>
          <w:b/>
          <w:bCs/>
        </w:rPr>
        <w:t xml:space="preserve">Valadez Aranda </w:t>
      </w:r>
    </w:p>
    <w:p w14:paraId="7690A2C4" w14:textId="77777777" w:rsidR="00FF5C42" w:rsidRPr="004035CF" w:rsidRDefault="00C07C81" w:rsidP="003F7238">
      <w:pPr>
        <w:jc w:val="right"/>
      </w:pPr>
      <w:r w:rsidRPr="004035CF">
        <w:rPr>
          <w:rFonts w:eastAsia="Arial"/>
        </w:rPr>
        <w:t>Tecnológico Nacional de México/I. T. de Ciudad Juárez</w:t>
      </w:r>
    </w:p>
    <w:p w14:paraId="7690A2C5" w14:textId="77777777" w:rsidR="00FF5C42" w:rsidRPr="004035CF" w:rsidRDefault="00C07C81" w:rsidP="003F7238">
      <w:pPr>
        <w:jc w:val="right"/>
        <w:rPr>
          <w:color w:val="FF0000"/>
        </w:rPr>
      </w:pPr>
      <w:hyperlink r:id="rId9" w:tooltip="mailto:rosariovaladez@hotmail.com" w:history="1">
        <w:r w:rsidRPr="004035CF">
          <w:rPr>
            <w:rFonts w:eastAsia="Arial"/>
            <w:color w:val="FF0000"/>
          </w:rPr>
          <w:t>maria.va@cdjuarez.tecnm.mx</w:t>
        </w:r>
      </w:hyperlink>
    </w:p>
    <w:p w14:paraId="7690A2C6" w14:textId="77777777" w:rsidR="00FF5C42" w:rsidRPr="00DB1911" w:rsidRDefault="00C07C81" w:rsidP="003F7238">
      <w:pPr>
        <w:jc w:val="right"/>
      </w:pPr>
      <w:hyperlink r:id="rId10" w:tooltip="https://orcid.org/0000-0003-4455-3072" w:history="1">
        <w:r w:rsidRPr="00DB1911">
          <w:rPr>
            <w:rStyle w:val="Hipervnculo"/>
            <w:rFonts w:eastAsia="Arial"/>
            <w:color w:val="auto"/>
            <w:u w:val="none"/>
          </w:rPr>
          <w:t>https://orcid.org/0000-0003-4455-3072</w:t>
        </w:r>
      </w:hyperlink>
    </w:p>
    <w:p w14:paraId="7690A2C7" w14:textId="77777777" w:rsidR="00FF5C42" w:rsidRPr="004035CF" w:rsidRDefault="00FF5C42" w:rsidP="003F7238"/>
    <w:p w14:paraId="7690A2C8" w14:textId="50057206" w:rsidR="00FF5C42" w:rsidRPr="004035CF" w:rsidRDefault="003F7238" w:rsidP="003F7238">
      <w:pPr>
        <w:jc w:val="right"/>
        <w:rPr>
          <w:b/>
          <w:bCs/>
        </w:rPr>
      </w:pPr>
      <w:r w:rsidRPr="004035CF">
        <w:rPr>
          <w:rFonts w:eastAsia="Arial"/>
          <w:b/>
          <w:bCs/>
        </w:rPr>
        <w:t xml:space="preserve">Jorge Arturo </w:t>
      </w:r>
      <w:r w:rsidR="00C07C81" w:rsidRPr="004035CF">
        <w:rPr>
          <w:rFonts w:eastAsia="Arial"/>
          <w:b/>
          <w:bCs/>
        </w:rPr>
        <w:t xml:space="preserve">Pinedo Gaucin </w:t>
      </w:r>
    </w:p>
    <w:p w14:paraId="7690A2C9" w14:textId="77777777" w:rsidR="00FF5C42" w:rsidRPr="004035CF" w:rsidRDefault="00C07C81" w:rsidP="003F7238">
      <w:pPr>
        <w:jc w:val="right"/>
      </w:pPr>
      <w:r w:rsidRPr="004035CF">
        <w:rPr>
          <w:rFonts w:eastAsia="Arial"/>
        </w:rPr>
        <w:t xml:space="preserve">Universidad Autónoma de Ciudad Juárez </w:t>
      </w:r>
    </w:p>
    <w:p w14:paraId="7AF8B361" w14:textId="77777777" w:rsidR="00AB3D2D" w:rsidRPr="00AB3D2D" w:rsidRDefault="00AB3D2D" w:rsidP="00AB3D2D">
      <w:pPr>
        <w:jc w:val="right"/>
        <w:rPr>
          <w:rFonts w:eastAsia="Arial"/>
          <w:color w:val="EE0000"/>
        </w:rPr>
      </w:pPr>
      <w:hyperlink r:id="rId11" w:tooltip="mailto:jorge.pinedo@uacj.mx" w:history="1">
        <w:r w:rsidRPr="00AB3D2D">
          <w:rPr>
            <w:rStyle w:val="Hipervnculo"/>
            <w:rFonts w:eastAsia="Arial"/>
            <w:color w:val="EE0000"/>
            <w:u w:val="none"/>
          </w:rPr>
          <w:t>jorge.pinedo@uacj.mx</w:t>
        </w:r>
      </w:hyperlink>
    </w:p>
    <w:p w14:paraId="7690A2CA" w14:textId="77777777" w:rsidR="00FF5C42" w:rsidRPr="004035CF" w:rsidRDefault="00C07C81" w:rsidP="003F7238">
      <w:pPr>
        <w:jc w:val="right"/>
      </w:pPr>
      <w:r w:rsidRPr="004035CF">
        <w:rPr>
          <w:rFonts w:eastAsia="Arial"/>
        </w:rPr>
        <w:t xml:space="preserve">https://orcid.org/0009-0004-9427-2783 </w:t>
      </w:r>
    </w:p>
    <w:p w14:paraId="7690A2CC" w14:textId="77777777" w:rsidR="00FF5C42" w:rsidRPr="004035CF" w:rsidRDefault="00FF5C42" w:rsidP="003F7238">
      <w:pPr>
        <w:jc w:val="right"/>
      </w:pPr>
    </w:p>
    <w:p w14:paraId="7690A2CD" w14:textId="71617E3C" w:rsidR="00FF5C42" w:rsidRPr="004035CF" w:rsidRDefault="003F7238" w:rsidP="003F7238">
      <w:pPr>
        <w:jc w:val="right"/>
      </w:pPr>
      <w:r w:rsidRPr="004035CF">
        <w:rPr>
          <w:b/>
          <w:bCs/>
        </w:rPr>
        <w:t>Judith</w:t>
      </w:r>
      <w:r w:rsidRPr="004035CF">
        <w:t xml:space="preserve"> </w:t>
      </w:r>
      <w:r w:rsidR="00C07C81" w:rsidRPr="004035CF">
        <w:rPr>
          <w:b/>
          <w:bCs/>
        </w:rPr>
        <w:t xml:space="preserve">Gallegos Padilla </w:t>
      </w:r>
    </w:p>
    <w:p w14:paraId="7690A2CE" w14:textId="77777777" w:rsidR="00FF5C42" w:rsidRPr="004035CF" w:rsidRDefault="00C07C81" w:rsidP="003F7238">
      <w:pPr>
        <w:jc w:val="right"/>
      </w:pPr>
      <w:r w:rsidRPr="004035CF">
        <w:t xml:space="preserve">Tecnológico Nacional de México/I. T. De Ciudad Juárez </w:t>
      </w:r>
    </w:p>
    <w:p w14:paraId="7690A2CF" w14:textId="77777777" w:rsidR="00FF5C42" w:rsidRPr="004035CF" w:rsidRDefault="00C07C81" w:rsidP="003F7238">
      <w:pPr>
        <w:jc w:val="right"/>
      </w:pPr>
      <w:r w:rsidRPr="004035CF">
        <w:t xml:space="preserve"> </w:t>
      </w:r>
      <w:r w:rsidRPr="00AB3D2D">
        <w:rPr>
          <w:color w:val="EE0000"/>
        </w:rPr>
        <w:t xml:space="preserve">judith.gp@cdjuarez.tecnm.mx </w:t>
      </w:r>
    </w:p>
    <w:p w14:paraId="7690A2D0" w14:textId="77777777" w:rsidR="00FF5C42" w:rsidRPr="004035CF" w:rsidRDefault="00C07C81" w:rsidP="003F7238">
      <w:pPr>
        <w:jc w:val="right"/>
      </w:pPr>
      <w:r w:rsidRPr="004035CF">
        <w:t>https://orcid.org/0009-0002-2595-7944</w:t>
      </w:r>
    </w:p>
    <w:p w14:paraId="7690A2D1" w14:textId="77777777" w:rsidR="00FF5C42" w:rsidRDefault="00FF5C42" w:rsidP="003F7238">
      <w:pPr>
        <w:jc w:val="right"/>
      </w:pPr>
    </w:p>
    <w:p w14:paraId="247F4B3E" w14:textId="77777777" w:rsidR="00AB3D2D" w:rsidRDefault="00AB3D2D" w:rsidP="003F7238">
      <w:pPr>
        <w:jc w:val="right"/>
      </w:pPr>
    </w:p>
    <w:p w14:paraId="36444702" w14:textId="77777777" w:rsidR="00466204" w:rsidRPr="004035CF" w:rsidRDefault="00466204" w:rsidP="003F7238">
      <w:pPr>
        <w:jc w:val="right"/>
      </w:pPr>
    </w:p>
    <w:p w14:paraId="7690A2D2" w14:textId="77777777" w:rsidR="00FF5C42" w:rsidRPr="004035CF" w:rsidRDefault="00C07C81" w:rsidP="008B2357">
      <w:pPr>
        <w:jc w:val="both"/>
      </w:pPr>
      <w:r w:rsidRPr="004035CF">
        <w:rPr>
          <w:noProof/>
        </w:rPr>
        <mc:AlternateContent>
          <mc:Choice Requires="wpg">
            <w:drawing>
              <wp:inline distT="0" distB="0" distL="0" distR="0" wp14:anchorId="7690A475" wp14:editId="7690A476">
                <wp:extent cx="0" cy="19050"/>
                <wp:effectExtent l="0" t="0" r="0" b="0"/>
                <wp:docPr id="1" name="Rectángulo 1"/>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0" o:spid="_x0000_s0" o:spt="1" type="#_x0000_t1" style="width:0.00pt;height:1.50pt;mso-wrap-distance-left:0.00pt;mso-wrap-distance-top:0.00pt;mso-wrap-distance-right:0.00pt;mso-wrap-distance-bottom:0.00pt;visibility:visible;" fillcolor="#FFFFFF" strokecolor="#000000"/>
            </w:pict>
          </mc:Fallback>
        </mc:AlternateContent>
      </w:r>
    </w:p>
    <w:p w14:paraId="7690A2D3" w14:textId="77777777" w:rsidR="00FF5C42" w:rsidRPr="00AB3D2D" w:rsidRDefault="00C07C81" w:rsidP="00AB3D2D">
      <w:pPr>
        <w:pStyle w:val="Ttulo2"/>
        <w:spacing w:before="0" w:after="0"/>
        <w:jc w:val="both"/>
        <w:rPr>
          <w:color w:val="auto"/>
        </w:rPr>
      </w:pPr>
      <w:bookmarkStart w:id="1" w:name="resumen"/>
      <w:r w:rsidRPr="00AB3D2D">
        <w:rPr>
          <w:color w:val="auto"/>
        </w:rPr>
        <w:t>Resumen</w:t>
      </w:r>
    </w:p>
    <w:p w14:paraId="7690A2D4" w14:textId="77777777" w:rsidR="00FF5C42" w:rsidRPr="004035CF" w:rsidRDefault="00C07C81" w:rsidP="00AB3D2D">
      <w:pPr>
        <w:jc w:val="both"/>
      </w:pPr>
      <w:r w:rsidRPr="004035CF">
        <w:t xml:space="preserve">Que el diseño industrial es clave para la competitividad económica de México es algo que pocas personas discutirían. Lo que sí resulta difícil de explicar es por qué, pese a esa importancia reconocida, los programas de educación superior tecnológica del país siguen formando egresados que no saben cómo proteger lo que diseñan. Este trabajo parte de esa contradicción. Se analiza el estado actual de la enseñanza del diseño de productos dentro del sistema tecnológico nacional, se examina qué tan conectada —o desconectada— está esa enseñanza con los mecanismos de registro que administra el Instituto Mexicano de la Propiedad Industrial (IMPI), y se identifican los factores que explican la </w:t>
      </w:r>
      <w:r w:rsidRPr="004035CF">
        <w:lastRenderedPageBreak/>
        <w:t>brecha entre ambos mundos. Con base en una revisión de planes de estudio, políticas educativas y documentos institucionales, así como en el análisis de experiencias en distintas instituciones del sector, se construye una propuesta de modelo formativo organizado en cuatro ejes de competencia que abarcan desde la generación de la idea hasta su registro y comercialización. La evidencia reunida indica que mientras esa articulación no ocurra de manera deliberada dentro del currículo, el potencial innovador de los estudiantes seguirá desaprovechándose.</w:t>
      </w:r>
    </w:p>
    <w:p w14:paraId="7690A2D5" w14:textId="77777777" w:rsidR="00FF5C42" w:rsidRPr="004035CF" w:rsidRDefault="00FF5C42" w:rsidP="008B2357">
      <w:pPr>
        <w:jc w:val="both"/>
      </w:pPr>
    </w:p>
    <w:p w14:paraId="7690A2D6" w14:textId="77777777" w:rsidR="00FF5C42" w:rsidRPr="004035CF" w:rsidRDefault="00C07C81" w:rsidP="008B2357">
      <w:pPr>
        <w:jc w:val="both"/>
      </w:pPr>
      <w:r w:rsidRPr="004035CF">
        <w:rPr>
          <w:b/>
          <w:bCs/>
        </w:rPr>
        <w:t>Palabras clave:</w:t>
      </w:r>
      <w:r w:rsidRPr="004035CF">
        <w:t xml:space="preserve"> diseño industrial, educación tecnológica, propiedad intelectual, IMPI, innovación</w:t>
      </w:r>
    </w:p>
    <w:p w14:paraId="7690A2D7" w14:textId="77777777" w:rsidR="00FF5C42" w:rsidRPr="004035CF" w:rsidRDefault="00C07C81" w:rsidP="008B2357">
      <w:pPr>
        <w:jc w:val="both"/>
      </w:pPr>
      <w:r w:rsidRPr="004035CF">
        <w:rPr>
          <w:noProof/>
        </w:rPr>
        <mc:AlternateContent>
          <mc:Choice Requires="wpg">
            <w:drawing>
              <wp:inline distT="0" distB="0" distL="0" distR="0" wp14:anchorId="7690A477" wp14:editId="7690A478">
                <wp:extent cx="0" cy="19050"/>
                <wp:effectExtent l="0" t="0" r="0" b="0"/>
                <wp:docPr id="2" name="Rectángulo 2"/>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1" o:spid="_x0000_s1" o:spt="1" type="#_x0000_t1" style="width:0.00pt;height:1.50pt;mso-wrap-distance-left:0.00pt;mso-wrap-distance-top:0.00pt;mso-wrap-distance-right:0.00pt;mso-wrap-distance-bottom:0.00pt;visibility:visible;" fillcolor="#FFFFFF" strokecolor="#000000"/>
            </w:pict>
          </mc:Fallback>
        </mc:AlternateContent>
      </w:r>
      <w:bookmarkEnd w:id="1"/>
    </w:p>
    <w:p w14:paraId="7690A2D8" w14:textId="77777777" w:rsidR="00FF5C42" w:rsidRPr="004035CF" w:rsidRDefault="00C07C81" w:rsidP="008B2357">
      <w:pPr>
        <w:pStyle w:val="Ttulo2"/>
        <w:jc w:val="both"/>
      </w:pPr>
      <w:bookmarkStart w:id="2" w:name="abstract"/>
      <w:proofErr w:type="spellStart"/>
      <w:r w:rsidRPr="004035CF">
        <w:t>Abstract</w:t>
      </w:r>
      <w:proofErr w:type="spellEnd"/>
    </w:p>
    <w:p w14:paraId="7690A2D9" w14:textId="77777777" w:rsidR="00FF5C42" w:rsidRPr="004035CF" w:rsidRDefault="00C07C81" w:rsidP="008B2357">
      <w:pPr>
        <w:jc w:val="both"/>
      </w:pPr>
      <w:proofErr w:type="spellStart"/>
      <w:r w:rsidRPr="004035CF">
        <w:t>Mexico’s</w:t>
      </w:r>
      <w:proofErr w:type="spellEnd"/>
      <w:r w:rsidRPr="004035CF">
        <w:t xml:space="preserve"> </w:t>
      </w:r>
      <w:proofErr w:type="spellStart"/>
      <w:r w:rsidRPr="004035CF">
        <w:t>higher</w:t>
      </w:r>
      <w:proofErr w:type="spellEnd"/>
      <w:r w:rsidRPr="004035CF">
        <w:t xml:space="preserve"> </w:t>
      </w:r>
      <w:proofErr w:type="spellStart"/>
      <w:r w:rsidRPr="004035CF">
        <w:t>technological</w:t>
      </w:r>
      <w:proofErr w:type="spellEnd"/>
      <w:r w:rsidRPr="004035CF">
        <w:t xml:space="preserve"> </w:t>
      </w:r>
      <w:proofErr w:type="spellStart"/>
      <w:r w:rsidRPr="004035CF">
        <w:t>education</w:t>
      </w:r>
      <w:proofErr w:type="spellEnd"/>
      <w:r w:rsidRPr="004035CF">
        <w:t xml:space="preserve"> </w:t>
      </w:r>
      <w:proofErr w:type="spellStart"/>
      <w:r w:rsidRPr="004035CF">
        <w:t>system</w:t>
      </w:r>
      <w:proofErr w:type="spellEnd"/>
      <w:r w:rsidRPr="004035CF">
        <w:t xml:space="preserve"> </w:t>
      </w:r>
      <w:proofErr w:type="spellStart"/>
      <w:r w:rsidRPr="004035CF">
        <w:t>trains</w:t>
      </w:r>
      <w:proofErr w:type="spellEnd"/>
      <w:r w:rsidRPr="004035CF">
        <w:t xml:space="preserve"> </w:t>
      </w:r>
      <w:proofErr w:type="spellStart"/>
      <w:r w:rsidRPr="004035CF">
        <w:t>nearly</w:t>
      </w:r>
      <w:proofErr w:type="spellEnd"/>
      <w:r w:rsidRPr="004035CF">
        <w:t xml:space="preserve"> </w:t>
      </w:r>
      <w:proofErr w:type="spellStart"/>
      <w:r w:rsidRPr="004035CF">
        <w:t>one</w:t>
      </w:r>
      <w:proofErr w:type="spellEnd"/>
      <w:r w:rsidRPr="004035CF">
        <w:t xml:space="preserve"> </w:t>
      </w:r>
      <w:proofErr w:type="spellStart"/>
      <w:r w:rsidRPr="004035CF">
        <w:t>million</w:t>
      </w:r>
      <w:proofErr w:type="spellEnd"/>
      <w:r w:rsidRPr="004035CF">
        <w:t xml:space="preserve"> </w:t>
      </w:r>
      <w:proofErr w:type="spellStart"/>
      <w:r w:rsidRPr="004035CF">
        <w:t>students</w:t>
      </w:r>
      <w:proofErr w:type="spellEnd"/>
      <w:r w:rsidRPr="004035CF">
        <w:t xml:space="preserve"> </w:t>
      </w:r>
      <w:proofErr w:type="spellStart"/>
      <w:r w:rsidRPr="004035CF">
        <w:t>annually</w:t>
      </w:r>
      <w:proofErr w:type="spellEnd"/>
      <w:r w:rsidRPr="004035CF">
        <w:t xml:space="preserve">, </w:t>
      </w:r>
      <w:proofErr w:type="spellStart"/>
      <w:r w:rsidRPr="004035CF">
        <w:t>yet</w:t>
      </w:r>
      <w:proofErr w:type="spellEnd"/>
      <w:r w:rsidRPr="004035CF">
        <w:t xml:space="preserve"> </w:t>
      </w:r>
      <w:proofErr w:type="spellStart"/>
      <w:r w:rsidRPr="004035CF">
        <w:t>the</w:t>
      </w:r>
      <w:proofErr w:type="spellEnd"/>
      <w:r w:rsidRPr="004035CF">
        <w:t xml:space="preserve"> </w:t>
      </w:r>
      <w:proofErr w:type="spellStart"/>
      <w:r w:rsidRPr="004035CF">
        <w:t>country’s</w:t>
      </w:r>
      <w:proofErr w:type="spellEnd"/>
      <w:r w:rsidRPr="004035CF">
        <w:t xml:space="preserve"> industrial </w:t>
      </w:r>
      <w:proofErr w:type="spellStart"/>
      <w:r w:rsidRPr="004035CF">
        <w:t>design</w:t>
      </w:r>
      <w:proofErr w:type="spellEnd"/>
      <w:r w:rsidRPr="004035CF">
        <w:t xml:space="preserve"> </w:t>
      </w:r>
      <w:proofErr w:type="spellStart"/>
      <w:r w:rsidRPr="004035CF">
        <w:t>registration</w:t>
      </w:r>
      <w:proofErr w:type="spellEnd"/>
      <w:r w:rsidRPr="004035CF">
        <w:t xml:space="preserve"> </w:t>
      </w:r>
      <w:proofErr w:type="spellStart"/>
      <w:r w:rsidRPr="004035CF">
        <w:t>rates</w:t>
      </w:r>
      <w:proofErr w:type="spellEnd"/>
      <w:r w:rsidRPr="004035CF">
        <w:t xml:space="preserve"> </w:t>
      </w:r>
      <w:proofErr w:type="spellStart"/>
      <w:r w:rsidRPr="004035CF">
        <w:t>remain</w:t>
      </w:r>
      <w:proofErr w:type="spellEnd"/>
      <w:r w:rsidRPr="004035CF">
        <w:t xml:space="preserve"> </w:t>
      </w:r>
      <w:proofErr w:type="spellStart"/>
      <w:r w:rsidRPr="004035CF">
        <w:t>strikingly</w:t>
      </w:r>
      <w:proofErr w:type="spellEnd"/>
      <w:r w:rsidRPr="004035CF">
        <w:t xml:space="preserve"> </w:t>
      </w:r>
      <w:proofErr w:type="spellStart"/>
      <w:r w:rsidRPr="004035CF">
        <w:t>low</w:t>
      </w:r>
      <w:proofErr w:type="spellEnd"/>
      <w:r w:rsidRPr="004035CF">
        <w:t xml:space="preserve">. </w:t>
      </w:r>
      <w:proofErr w:type="spellStart"/>
      <w:r w:rsidRPr="004035CF">
        <w:t>This</w:t>
      </w:r>
      <w:proofErr w:type="spellEnd"/>
      <w:r w:rsidRPr="004035CF">
        <w:t xml:space="preserve"> </w:t>
      </w:r>
      <w:proofErr w:type="spellStart"/>
      <w:r w:rsidRPr="004035CF">
        <w:t>paper</w:t>
      </w:r>
      <w:proofErr w:type="spellEnd"/>
      <w:r w:rsidRPr="004035CF">
        <w:t xml:space="preserve"> </w:t>
      </w:r>
      <w:proofErr w:type="spellStart"/>
      <w:r w:rsidRPr="004035CF">
        <w:t>investigates</w:t>
      </w:r>
      <w:proofErr w:type="spellEnd"/>
      <w:r w:rsidRPr="004035CF">
        <w:t xml:space="preserve"> </w:t>
      </w:r>
      <w:proofErr w:type="spellStart"/>
      <w:r w:rsidRPr="004035CF">
        <w:t>the</w:t>
      </w:r>
      <w:proofErr w:type="spellEnd"/>
      <w:r w:rsidRPr="004035CF">
        <w:t xml:space="preserve"> </w:t>
      </w:r>
      <w:proofErr w:type="spellStart"/>
      <w:r w:rsidRPr="004035CF">
        <w:t>disconnect</w:t>
      </w:r>
      <w:proofErr w:type="spellEnd"/>
      <w:r w:rsidRPr="004035CF">
        <w:t xml:space="preserve"> </w:t>
      </w:r>
      <w:proofErr w:type="spellStart"/>
      <w:r w:rsidRPr="004035CF">
        <w:t>between</w:t>
      </w:r>
      <w:proofErr w:type="spellEnd"/>
      <w:r w:rsidRPr="004035CF">
        <w:t xml:space="preserve"> </w:t>
      </w:r>
      <w:proofErr w:type="spellStart"/>
      <w:r w:rsidRPr="004035CF">
        <w:t>product</w:t>
      </w:r>
      <w:proofErr w:type="spellEnd"/>
      <w:r w:rsidRPr="004035CF">
        <w:t xml:space="preserve"> </w:t>
      </w:r>
      <w:proofErr w:type="spellStart"/>
      <w:r w:rsidRPr="004035CF">
        <w:t>design</w:t>
      </w:r>
      <w:proofErr w:type="spellEnd"/>
      <w:r w:rsidRPr="004035CF">
        <w:t xml:space="preserve"> </w:t>
      </w:r>
      <w:proofErr w:type="spellStart"/>
      <w:r w:rsidRPr="004035CF">
        <w:t>education</w:t>
      </w:r>
      <w:proofErr w:type="spellEnd"/>
      <w:r w:rsidRPr="004035CF">
        <w:t xml:space="preserve"> and </w:t>
      </w:r>
      <w:proofErr w:type="spellStart"/>
      <w:r w:rsidRPr="004035CF">
        <w:t>intellectual</w:t>
      </w:r>
      <w:proofErr w:type="spellEnd"/>
      <w:r w:rsidRPr="004035CF">
        <w:t xml:space="preserve"> </w:t>
      </w:r>
      <w:proofErr w:type="spellStart"/>
      <w:r w:rsidRPr="004035CF">
        <w:t>property</w:t>
      </w:r>
      <w:proofErr w:type="spellEnd"/>
      <w:r w:rsidRPr="004035CF">
        <w:t xml:space="preserve"> </w:t>
      </w:r>
      <w:proofErr w:type="spellStart"/>
      <w:r w:rsidRPr="004035CF">
        <w:t>protection</w:t>
      </w:r>
      <w:proofErr w:type="spellEnd"/>
      <w:r w:rsidRPr="004035CF">
        <w:t xml:space="preserve"> </w:t>
      </w:r>
      <w:proofErr w:type="spellStart"/>
      <w:r w:rsidRPr="004035CF">
        <w:t>mechanisms</w:t>
      </w:r>
      <w:proofErr w:type="spellEnd"/>
      <w:r w:rsidRPr="004035CF">
        <w:t xml:space="preserve"> in </w:t>
      </w:r>
      <w:proofErr w:type="spellStart"/>
      <w:r w:rsidRPr="004035CF">
        <w:t>Mexico’s</w:t>
      </w:r>
      <w:proofErr w:type="spellEnd"/>
      <w:r w:rsidRPr="004035CF">
        <w:t xml:space="preserve"> </w:t>
      </w:r>
      <w:proofErr w:type="spellStart"/>
      <w:r w:rsidRPr="004035CF">
        <w:t>national</w:t>
      </w:r>
      <w:proofErr w:type="spellEnd"/>
      <w:r w:rsidRPr="004035CF">
        <w:t xml:space="preserve"> </w:t>
      </w:r>
      <w:proofErr w:type="spellStart"/>
      <w:r w:rsidRPr="004035CF">
        <w:t>technological</w:t>
      </w:r>
      <w:proofErr w:type="spellEnd"/>
      <w:r w:rsidRPr="004035CF">
        <w:t xml:space="preserve"> </w:t>
      </w:r>
      <w:proofErr w:type="spellStart"/>
      <w:r w:rsidRPr="004035CF">
        <w:t>education</w:t>
      </w:r>
      <w:proofErr w:type="spellEnd"/>
      <w:r w:rsidRPr="004035CF">
        <w:t xml:space="preserve"> </w:t>
      </w:r>
      <w:proofErr w:type="spellStart"/>
      <w:r w:rsidRPr="004035CF">
        <w:t>system</w:t>
      </w:r>
      <w:proofErr w:type="spellEnd"/>
      <w:r w:rsidRPr="004035CF">
        <w:t xml:space="preserve">. </w:t>
      </w:r>
      <w:proofErr w:type="spellStart"/>
      <w:r w:rsidRPr="004035CF">
        <w:t>Through</w:t>
      </w:r>
      <w:proofErr w:type="spellEnd"/>
      <w:r w:rsidRPr="004035CF">
        <w:t xml:space="preserve"> </w:t>
      </w:r>
      <w:proofErr w:type="spellStart"/>
      <w:r w:rsidRPr="004035CF">
        <w:t>documentary</w:t>
      </w:r>
      <w:proofErr w:type="spellEnd"/>
      <w:r w:rsidRPr="004035CF">
        <w:t xml:space="preserve"> </w:t>
      </w:r>
      <w:proofErr w:type="spellStart"/>
      <w:r w:rsidRPr="004035CF">
        <w:t>review</w:t>
      </w:r>
      <w:proofErr w:type="spellEnd"/>
      <w:r w:rsidRPr="004035CF">
        <w:t xml:space="preserve"> and </w:t>
      </w:r>
      <w:proofErr w:type="spellStart"/>
      <w:r w:rsidRPr="004035CF">
        <w:t>institutional</w:t>
      </w:r>
      <w:proofErr w:type="spellEnd"/>
      <w:r w:rsidRPr="004035CF">
        <w:t xml:space="preserve"> case </w:t>
      </w:r>
      <w:proofErr w:type="spellStart"/>
      <w:r w:rsidRPr="004035CF">
        <w:t>analysis</w:t>
      </w:r>
      <w:proofErr w:type="spellEnd"/>
      <w:r w:rsidRPr="004035CF">
        <w:t xml:space="preserve">, </w:t>
      </w:r>
      <w:proofErr w:type="spellStart"/>
      <w:r w:rsidRPr="004035CF">
        <w:t>the</w:t>
      </w:r>
      <w:proofErr w:type="spellEnd"/>
      <w:r w:rsidRPr="004035CF">
        <w:t xml:space="preserve"> </w:t>
      </w:r>
      <w:proofErr w:type="spellStart"/>
      <w:r w:rsidRPr="004035CF">
        <w:t>study</w:t>
      </w:r>
      <w:proofErr w:type="spellEnd"/>
      <w:r w:rsidRPr="004035CF">
        <w:t xml:space="preserve"> </w:t>
      </w:r>
      <w:proofErr w:type="spellStart"/>
      <w:r w:rsidRPr="004035CF">
        <w:t>maps</w:t>
      </w:r>
      <w:proofErr w:type="spellEnd"/>
      <w:r w:rsidRPr="004035CF">
        <w:t xml:space="preserve"> </w:t>
      </w:r>
      <w:proofErr w:type="spellStart"/>
      <w:r w:rsidRPr="004035CF">
        <w:t>existing</w:t>
      </w:r>
      <w:proofErr w:type="spellEnd"/>
      <w:r w:rsidRPr="004035CF">
        <w:t xml:space="preserve"> curricular gaps, examines </w:t>
      </w:r>
      <w:proofErr w:type="spellStart"/>
      <w:r w:rsidRPr="004035CF">
        <w:t>how</w:t>
      </w:r>
      <w:proofErr w:type="spellEnd"/>
      <w:r w:rsidRPr="004035CF">
        <w:t xml:space="preserve"> </w:t>
      </w:r>
      <w:proofErr w:type="spellStart"/>
      <w:r w:rsidRPr="004035CF">
        <w:t>engineering</w:t>
      </w:r>
      <w:proofErr w:type="spellEnd"/>
      <w:r w:rsidRPr="004035CF">
        <w:t xml:space="preserve"> and </w:t>
      </w:r>
      <w:proofErr w:type="spellStart"/>
      <w:r w:rsidRPr="004035CF">
        <w:t>design</w:t>
      </w:r>
      <w:proofErr w:type="spellEnd"/>
      <w:r w:rsidRPr="004035CF">
        <w:t xml:space="preserve"> </w:t>
      </w:r>
      <w:proofErr w:type="spellStart"/>
      <w:r w:rsidRPr="004035CF">
        <w:t>graduates</w:t>
      </w:r>
      <w:proofErr w:type="spellEnd"/>
      <w:r w:rsidRPr="004035CF">
        <w:t xml:space="preserve"> relate </w:t>
      </w:r>
      <w:proofErr w:type="spellStart"/>
      <w:r w:rsidRPr="004035CF">
        <w:t>to</w:t>
      </w:r>
      <w:proofErr w:type="spellEnd"/>
      <w:r w:rsidRPr="004035CF">
        <w:t xml:space="preserve"> </w:t>
      </w:r>
      <w:proofErr w:type="spellStart"/>
      <w:r w:rsidRPr="004035CF">
        <w:t>the</w:t>
      </w:r>
      <w:proofErr w:type="spellEnd"/>
      <w:r w:rsidRPr="004035CF">
        <w:t xml:space="preserve"> </w:t>
      </w:r>
      <w:proofErr w:type="spellStart"/>
      <w:r w:rsidRPr="004035CF">
        <w:t>registration</w:t>
      </w:r>
      <w:proofErr w:type="spellEnd"/>
      <w:r w:rsidRPr="004035CF">
        <w:t xml:space="preserve"> </w:t>
      </w:r>
      <w:proofErr w:type="spellStart"/>
      <w:r w:rsidRPr="004035CF">
        <w:t>processes</w:t>
      </w:r>
      <w:proofErr w:type="spellEnd"/>
      <w:r w:rsidRPr="004035CF">
        <w:t xml:space="preserve"> </w:t>
      </w:r>
      <w:proofErr w:type="spellStart"/>
      <w:r w:rsidRPr="004035CF">
        <w:t>administered</w:t>
      </w:r>
      <w:proofErr w:type="spellEnd"/>
      <w:r w:rsidRPr="004035CF">
        <w:t xml:space="preserve"> </w:t>
      </w:r>
      <w:proofErr w:type="spellStart"/>
      <w:r w:rsidRPr="004035CF">
        <w:t>by</w:t>
      </w:r>
      <w:proofErr w:type="spellEnd"/>
      <w:r w:rsidRPr="004035CF">
        <w:t xml:space="preserve"> </w:t>
      </w:r>
      <w:proofErr w:type="spellStart"/>
      <w:r w:rsidRPr="004035CF">
        <w:t>the</w:t>
      </w:r>
      <w:proofErr w:type="spellEnd"/>
      <w:r w:rsidRPr="004035CF">
        <w:t xml:space="preserve"> Mexican </w:t>
      </w:r>
      <w:proofErr w:type="spellStart"/>
      <w:r w:rsidRPr="004035CF">
        <w:t>Institute</w:t>
      </w:r>
      <w:proofErr w:type="spellEnd"/>
      <w:r w:rsidRPr="004035CF">
        <w:t xml:space="preserve"> </w:t>
      </w:r>
      <w:proofErr w:type="spellStart"/>
      <w:r w:rsidRPr="004035CF">
        <w:t>of</w:t>
      </w:r>
      <w:proofErr w:type="spellEnd"/>
      <w:r w:rsidRPr="004035CF">
        <w:t xml:space="preserve"> Industrial </w:t>
      </w:r>
      <w:proofErr w:type="spellStart"/>
      <w:r w:rsidRPr="004035CF">
        <w:t>Property</w:t>
      </w:r>
      <w:proofErr w:type="spellEnd"/>
      <w:r w:rsidRPr="004035CF">
        <w:t xml:space="preserve"> (IMPI), and </w:t>
      </w:r>
      <w:proofErr w:type="spellStart"/>
      <w:r w:rsidRPr="004035CF">
        <w:t>builds</w:t>
      </w:r>
      <w:proofErr w:type="spellEnd"/>
      <w:r w:rsidRPr="004035CF">
        <w:t xml:space="preserve"> a </w:t>
      </w:r>
      <w:proofErr w:type="spellStart"/>
      <w:r w:rsidRPr="004035CF">
        <w:t>competency</w:t>
      </w:r>
      <w:proofErr w:type="spellEnd"/>
      <w:r w:rsidRPr="004035CF">
        <w:t xml:space="preserve"> </w:t>
      </w:r>
      <w:proofErr w:type="spellStart"/>
      <w:r w:rsidRPr="004035CF">
        <w:t>framework</w:t>
      </w:r>
      <w:proofErr w:type="spellEnd"/>
      <w:r w:rsidRPr="004035CF">
        <w:t xml:space="preserve"> </w:t>
      </w:r>
      <w:proofErr w:type="spellStart"/>
      <w:r w:rsidRPr="004035CF">
        <w:t>structured</w:t>
      </w:r>
      <w:proofErr w:type="spellEnd"/>
      <w:r w:rsidRPr="004035CF">
        <w:t xml:space="preserve"> </w:t>
      </w:r>
      <w:proofErr w:type="spellStart"/>
      <w:r w:rsidRPr="004035CF">
        <w:t>around</w:t>
      </w:r>
      <w:proofErr w:type="spellEnd"/>
      <w:r w:rsidRPr="004035CF">
        <w:t xml:space="preserve"> </w:t>
      </w:r>
      <w:proofErr w:type="spellStart"/>
      <w:r w:rsidRPr="004035CF">
        <w:t>the</w:t>
      </w:r>
      <w:proofErr w:type="spellEnd"/>
      <w:r w:rsidRPr="004035CF">
        <w:t xml:space="preserve"> complete </w:t>
      </w:r>
      <w:proofErr w:type="spellStart"/>
      <w:r w:rsidRPr="004035CF">
        <w:t>design</w:t>
      </w:r>
      <w:proofErr w:type="spellEnd"/>
      <w:r w:rsidRPr="004035CF">
        <w:t xml:space="preserve"> </w:t>
      </w:r>
      <w:proofErr w:type="spellStart"/>
      <w:r w:rsidRPr="004035CF">
        <w:t>lifecycle</w:t>
      </w:r>
      <w:proofErr w:type="spellEnd"/>
      <w:r w:rsidRPr="004035CF">
        <w:t>—</w:t>
      </w:r>
      <w:proofErr w:type="spellStart"/>
      <w:r w:rsidRPr="004035CF">
        <w:t>from</w:t>
      </w:r>
      <w:proofErr w:type="spellEnd"/>
      <w:r w:rsidRPr="004035CF">
        <w:t xml:space="preserve"> idea </w:t>
      </w:r>
      <w:proofErr w:type="spellStart"/>
      <w:r w:rsidRPr="004035CF">
        <w:t>generation</w:t>
      </w:r>
      <w:proofErr w:type="spellEnd"/>
      <w:r w:rsidRPr="004035CF">
        <w:t xml:space="preserve"> </w:t>
      </w:r>
      <w:proofErr w:type="spellStart"/>
      <w:r w:rsidRPr="004035CF">
        <w:t>to</w:t>
      </w:r>
      <w:proofErr w:type="spellEnd"/>
      <w:r w:rsidRPr="004035CF">
        <w:t xml:space="preserve"> </w:t>
      </w:r>
      <w:proofErr w:type="spellStart"/>
      <w:r w:rsidRPr="004035CF">
        <w:t>market</w:t>
      </w:r>
      <w:proofErr w:type="spellEnd"/>
      <w:r w:rsidRPr="004035CF">
        <w:t xml:space="preserve"> </w:t>
      </w:r>
      <w:proofErr w:type="spellStart"/>
      <w:r w:rsidRPr="004035CF">
        <w:t>entry</w:t>
      </w:r>
      <w:proofErr w:type="spellEnd"/>
      <w:r w:rsidRPr="004035CF">
        <w:t xml:space="preserve">. The </w:t>
      </w:r>
      <w:proofErr w:type="spellStart"/>
      <w:r w:rsidRPr="004035CF">
        <w:t>evidence</w:t>
      </w:r>
      <w:proofErr w:type="spellEnd"/>
      <w:r w:rsidRPr="004035CF">
        <w:t xml:space="preserve"> </w:t>
      </w:r>
      <w:proofErr w:type="spellStart"/>
      <w:r w:rsidRPr="004035CF">
        <w:t>points</w:t>
      </w:r>
      <w:proofErr w:type="spellEnd"/>
      <w:r w:rsidRPr="004035CF">
        <w:t xml:space="preserve"> </w:t>
      </w:r>
      <w:proofErr w:type="spellStart"/>
      <w:r w:rsidRPr="004035CF">
        <w:t>to</w:t>
      </w:r>
      <w:proofErr w:type="spellEnd"/>
      <w:r w:rsidRPr="004035CF">
        <w:t xml:space="preserve"> a </w:t>
      </w:r>
      <w:proofErr w:type="spellStart"/>
      <w:r w:rsidRPr="004035CF">
        <w:t>clear</w:t>
      </w:r>
      <w:proofErr w:type="spellEnd"/>
      <w:r w:rsidRPr="004035CF">
        <w:t xml:space="preserve"> </w:t>
      </w:r>
      <w:proofErr w:type="spellStart"/>
      <w:r w:rsidRPr="004035CF">
        <w:t>conclusion</w:t>
      </w:r>
      <w:proofErr w:type="spellEnd"/>
      <w:r w:rsidRPr="004035CF">
        <w:t xml:space="preserve">: as </w:t>
      </w:r>
      <w:proofErr w:type="spellStart"/>
      <w:r w:rsidRPr="004035CF">
        <w:t>long</w:t>
      </w:r>
      <w:proofErr w:type="spellEnd"/>
      <w:r w:rsidRPr="004035CF">
        <w:t xml:space="preserve"> as </w:t>
      </w:r>
      <w:proofErr w:type="spellStart"/>
      <w:r w:rsidRPr="004035CF">
        <w:t>intellectual</w:t>
      </w:r>
      <w:proofErr w:type="spellEnd"/>
      <w:r w:rsidRPr="004035CF">
        <w:t xml:space="preserve"> </w:t>
      </w:r>
      <w:proofErr w:type="spellStart"/>
      <w:r w:rsidRPr="004035CF">
        <w:t>property</w:t>
      </w:r>
      <w:proofErr w:type="spellEnd"/>
      <w:r w:rsidRPr="004035CF">
        <w:t xml:space="preserve"> </w:t>
      </w:r>
      <w:proofErr w:type="spellStart"/>
      <w:r w:rsidRPr="004035CF">
        <w:t>competencies</w:t>
      </w:r>
      <w:proofErr w:type="spellEnd"/>
      <w:r w:rsidRPr="004035CF">
        <w:t xml:space="preserve"> </w:t>
      </w:r>
      <w:proofErr w:type="spellStart"/>
      <w:r w:rsidRPr="004035CF">
        <w:t>remain</w:t>
      </w:r>
      <w:proofErr w:type="spellEnd"/>
      <w:r w:rsidRPr="004035CF">
        <w:t xml:space="preserve"> </w:t>
      </w:r>
      <w:proofErr w:type="spellStart"/>
      <w:r w:rsidRPr="004035CF">
        <w:t>absent</w:t>
      </w:r>
      <w:proofErr w:type="spellEnd"/>
      <w:r w:rsidRPr="004035CF">
        <w:t xml:space="preserve"> </w:t>
      </w:r>
      <w:proofErr w:type="spellStart"/>
      <w:r w:rsidRPr="004035CF">
        <w:t>from</w:t>
      </w:r>
      <w:proofErr w:type="spellEnd"/>
      <w:r w:rsidRPr="004035CF">
        <w:t xml:space="preserve"> formal </w:t>
      </w:r>
      <w:proofErr w:type="spellStart"/>
      <w:r w:rsidRPr="004035CF">
        <w:t>curricula</w:t>
      </w:r>
      <w:proofErr w:type="spellEnd"/>
      <w:r w:rsidRPr="004035CF">
        <w:t xml:space="preserve">, </w:t>
      </w:r>
      <w:proofErr w:type="spellStart"/>
      <w:r w:rsidRPr="004035CF">
        <w:t>the</w:t>
      </w:r>
      <w:proofErr w:type="spellEnd"/>
      <w:r w:rsidRPr="004035CF">
        <w:t xml:space="preserve"> innovative output </w:t>
      </w:r>
      <w:proofErr w:type="spellStart"/>
      <w:r w:rsidRPr="004035CF">
        <w:t>of</w:t>
      </w:r>
      <w:proofErr w:type="spellEnd"/>
      <w:r w:rsidRPr="004035CF">
        <w:t xml:space="preserve"> </w:t>
      </w:r>
      <w:proofErr w:type="spellStart"/>
      <w:r w:rsidRPr="004035CF">
        <w:t>graduates</w:t>
      </w:r>
      <w:proofErr w:type="spellEnd"/>
      <w:r w:rsidRPr="004035CF">
        <w:t xml:space="preserve"> </w:t>
      </w:r>
      <w:proofErr w:type="spellStart"/>
      <w:r w:rsidRPr="004035CF">
        <w:t>will</w:t>
      </w:r>
      <w:proofErr w:type="spellEnd"/>
      <w:r w:rsidRPr="004035CF">
        <w:t xml:space="preserve"> continue </w:t>
      </w:r>
      <w:proofErr w:type="spellStart"/>
      <w:r w:rsidRPr="004035CF">
        <w:t>to</w:t>
      </w:r>
      <w:proofErr w:type="spellEnd"/>
      <w:r w:rsidRPr="004035CF">
        <w:t xml:space="preserve"> </w:t>
      </w:r>
      <w:proofErr w:type="spellStart"/>
      <w:r w:rsidRPr="004035CF">
        <w:t>fall</w:t>
      </w:r>
      <w:proofErr w:type="spellEnd"/>
      <w:r w:rsidRPr="004035CF">
        <w:t xml:space="preserve"> short </w:t>
      </w:r>
      <w:proofErr w:type="spellStart"/>
      <w:r w:rsidRPr="004035CF">
        <w:t>of</w:t>
      </w:r>
      <w:proofErr w:type="spellEnd"/>
      <w:r w:rsidRPr="004035CF">
        <w:t xml:space="preserve"> </w:t>
      </w:r>
      <w:proofErr w:type="spellStart"/>
      <w:r w:rsidRPr="004035CF">
        <w:t>its</w:t>
      </w:r>
      <w:proofErr w:type="spellEnd"/>
      <w:r w:rsidRPr="004035CF">
        <w:t xml:space="preserve"> real </w:t>
      </w:r>
      <w:proofErr w:type="spellStart"/>
      <w:r w:rsidRPr="004035CF">
        <w:t>potential</w:t>
      </w:r>
      <w:proofErr w:type="spellEnd"/>
      <w:r w:rsidRPr="004035CF">
        <w:t>.</w:t>
      </w:r>
    </w:p>
    <w:p w14:paraId="7690A2DA" w14:textId="77777777" w:rsidR="00FF5C42" w:rsidRPr="004035CF" w:rsidRDefault="00FF5C42" w:rsidP="008B2357">
      <w:pPr>
        <w:jc w:val="both"/>
      </w:pPr>
    </w:p>
    <w:p w14:paraId="7690A2DB" w14:textId="77777777" w:rsidR="00FF5C42" w:rsidRPr="004035CF" w:rsidRDefault="00C07C81" w:rsidP="008B2357">
      <w:pPr>
        <w:jc w:val="both"/>
      </w:pPr>
      <w:proofErr w:type="spellStart"/>
      <w:r w:rsidRPr="004035CF">
        <w:rPr>
          <w:b/>
          <w:bCs/>
        </w:rPr>
        <w:t>Keywords</w:t>
      </w:r>
      <w:proofErr w:type="spellEnd"/>
      <w:r w:rsidRPr="004035CF">
        <w:rPr>
          <w:b/>
          <w:bCs/>
        </w:rPr>
        <w:t>:</w:t>
      </w:r>
      <w:r w:rsidRPr="004035CF">
        <w:t xml:space="preserve"> industrial </w:t>
      </w:r>
      <w:proofErr w:type="spellStart"/>
      <w:r w:rsidRPr="004035CF">
        <w:t>design</w:t>
      </w:r>
      <w:proofErr w:type="spellEnd"/>
      <w:r w:rsidRPr="004035CF">
        <w:t xml:space="preserve">, </w:t>
      </w:r>
      <w:proofErr w:type="spellStart"/>
      <w:r w:rsidRPr="004035CF">
        <w:t>technological</w:t>
      </w:r>
      <w:proofErr w:type="spellEnd"/>
      <w:r w:rsidRPr="004035CF">
        <w:t xml:space="preserve"> </w:t>
      </w:r>
      <w:proofErr w:type="spellStart"/>
      <w:r w:rsidRPr="004035CF">
        <w:t>education</w:t>
      </w:r>
      <w:proofErr w:type="spellEnd"/>
      <w:r w:rsidRPr="004035CF">
        <w:t xml:space="preserve">, </w:t>
      </w:r>
      <w:proofErr w:type="spellStart"/>
      <w:r w:rsidRPr="004035CF">
        <w:t>intellectual</w:t>
      </w:r>
      <w:proofErr w:type="spellEnd"/>
      <w:r w:rsidRPr="004035CF">
        <w:t xml:space="preserve"> </w:t>
      </w:r>
      <w:proofErr w:type="spellStart"/>
      <w:r w:rsidRPr="004035CF">
        <w:t>property</w:t>
      </w:r>
      <w:proofErr w:type="spellEnd"/>
      <w:r w:rsidRPr="004035CF">
        <w:t xml:space="preserve">, IMPI, </w:t>
      </w:r>
      <w:proofErr w:type="spellStart"/>
      <w:r w:rsidRPr="004035CF">
        <w:t>innovation</w:t>
      </w:r>
      <w:proofErr w:type="spellEnd"/>
    </w:p>
    <w:p w14:paraId="16A16BD8" w14:textId="77777777" w:rsidR="0006033C" w:rsidRDefault="00C07C81" w:rsidP="0006033C">
      <w:pPr>
        <w:jc w:val="both"/>
      </w:pPr>
      <w:r w:rsidRPr="004035CF">
        <w:rPr>
          <w:noProof/>
        </w:rPr>
        <mc:AlternateContent>
          <mc:Choice Requires="wpg">
            <w:drawing>
              <wp:inline distT="0" distB="0" distL="0" distR="0" wp14:anchorId="7690A479" wp14:editId="7690A47A">
                <wp:extent cx="0" cy="19050"/>
                <wp:effectExtent l="0" t="0" r="0" b="0"/>
                <wp:docPr id="3" name="Rectángulo 3"/>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2" o:spid="_x0000_s2" o:spt="1" type="#_x0000_t1" style="width:0.00pt;height:1.50pt;mso-wrap-distance-left:0.00pt;mso-wrap-distance-top:0.00pt;mso-wrap-distance-right:0.00pt;mso-wrap-distance-bottom:0.00pt;visibility:visible;" fillcolor="#FFFFFF" strokecolor="#000000"/>
            </w:pict>
          </mc:Fallback>
        </mc:AlternateContent>
      </w:r>
      <w:bookmarkStart w:id="3" w:name="introducción"/>
      <w:bookmarkEnd w:id="2"/>
    </w:p>
    <w:p w14:paraId="7690A2DD" w14:textId="153E6B27" w:rsidR="00FF5C42" w:rsidRPr="0006033C" w:rsidRDefault="00C07C81" w:rsidP="0006033C">
      <w:pPr>
        <w:jc w:val="center"/>
        <w:rPr>
          <w:b/>
          <w:bCs/>
        </w:rPr>
      </w:pPr>
      <w:r w:rsidRPr="0006033C">
        <w:rPr>
          <w:b/>
          <w:bCs/>
        </w:rPr>
        <w:t>Introducción</w:t>
      </w:r>
    </w:p>
    <w:p w14:paraId="74CEB7AC" w14:textId="77777777" w:rsidR="0006033C" w:rsidRPr="004035CF" w:rsidRDefault="0006033C" w:rsidP="0006033C">
      <w:pPr>
        <w:jc w:val="both"/>
      </w:pPr>
    </w:p>
    <w:p w14:paraId="7690A2DE" w14:textId="77777777" w:rsidR="00FF5C42" w:rsidRPr="004035CF" w:rsidRDefault="00C07C81" w:rsidP="008B2357">
      <w:pPr>
        <w:jc w:val="both"/>
      </w:pPr>
      <w:r w:rsidRPr="004035CF">
        <w:t>Basta comparar dos cifras para entender el problema que motiva este artículo. México dispone de una red de más de trescientas instituciones de educación superior tecnológica repartidas por todo el territorio —institutos federales, estatales, universidades tecnológicas y politécnicas— que juntas atienden a cerca de un millón de estudiantes cada año. Sin embargo, los registros de diseño industrial y las patentes que ese sistema genera son, para su tamaño, sorprendentemente escasos en comparación con países latinoamericanos de desarrollo similar (IMPI, 2023; OCDE, 2022). La escala del sistema no se refleja en su producción de propiedad intelectual, y eso merece una explicación.</w:t>
      </w:r>
    </w:p>
    <w:p w14:paraId="7690A2DF" w14:textId="77777777" w:rsidR="00FF5C42" w:rsidRPr="004035CF" w:rsidRDefault="00FF5C42" w:rsidP="008B2357">
      <w:pPr>
        <w:jc w:val="both"/>
      </w:pPr>
    </w:p>
    <w:p w14:paraId="7690A2E0" w14:textId="77777777" w:rsidR="00FF5C42" w:rsidRPr="004035CF" w:rsidRDefault="00C07C81" w:rsidP="008B2357">
      <w:pPr>
        <w:jc w:val="both"/>
      </w:pPr>
      <w:r w:rsidRPr="004035CF">
        <w:t>Una pista importante está en cómo se entiende y enseña el diseño industrial dentro de ese sistema. En términos amplios, la disciplina se ocupa de dar forma a objetos que funcionan, que pueden producirse industrialmente y que resultan atractivos para quien los usa. Lo que la hace estratégica —y lo que con frecuencia se subestima en la formación— es que ese proceso de dar forma no termina en el taller: termina cuando el producto está protegido legalmente y disponible en el mercado. En la mayor parte de los programas tecnológicos del país, el diseño se enseña hasta cierto punto del camino y luego se detiene; lo que viene después —el registro, la negociación de derechos, la transferencia tecnológica— queda fuera del mapa curricular (Flores-Mejía y Rodríguez-Torres, 2020).</w:t>
      </w:r>
    </w:p>
    <w:p w14:paraId="7690A2E1" w14:textId="77777777" w:rsidR="00FF5C42" w:rsidRPr="004035CF" w:rsidRDefault="00FF5C42" w:rsidP="008B2357">
      <w:pPr>
        <w:jc w:val="both"/>
      </w:pPr>
    </w:p>
    <w:p w14:paraId="7690A2E2" w14:textId="77777777" w:rsidR="00FF5C42" w:rsidRPr="004035CF" w:rsidRDefault="00C07C81" w:rsidP="008B2357">
      <w:pPr>
        <w:jc w:val="both"/>
      </w:pPr>
      <w:r w:rsidRPr="004035CF">
        <w:t>El IMPI gestiona en México las figuras de protección industrial: patentes, modelos de utilidad, diseños registrados y marcas. Cuenta además con mecanismos de orientación dirigidos a la comunidad educativa, pero los datos muestran que la mayoría de quienes egresan de carreras de ingeniería y diseño no conoce esos mecanismos, no sabe cuándo ni cómo usarlos, y tampoco tiene claro qué ventajas concretas ofrecen (IMPI, 2022). El resultado es predecible: proyectos con valor potencial que no llegan al registro, y profesionales que podrían generar propiedad intelectual pero que no tienen las herramientas para hacerlo.</w:t>
      </w:r>
    </w:p>
    <w:p w14:paraId="7690A2E3" w14:textId="77777777" w:rsidR="00FF5C42" w:rsidRPr="004035CF" w:rsidRDefault="00C07C81" w:rsidP="008B2357">
      <w:pPr>
        <w:jc w:val="both"/>
      </w:pPr>
      <w:r w:rsidRPr="004035CF">
        <w:lastRenderedPageBreak/>
        <w:t xml:space="preserve">Este artículo se propone, en primer lugar, describir cómo se incorpora el diseño industrial en los planes de estudio del Sistema de Educación Superior Tecnológica (SEST); en segundo lugar, analizar qué vínculos existen —o faltan— entre esa formación y las rutas de protección que ofrece el IMPI; </w:t>
      </w:r>
      <w:proofErr w:type="gramStart"/>
      <w:r w:rsidRPr="004035CF">
        <w:t>y</w:t>
      </w:r>
      <w:proofErr w:type="gramEnd"/>
      <w:r w:rsidRPr="004035CF">
        <w:t xml:space="preserve"> en tercer lugar, plantear un modelo de competencias que permita integrar ambas dimensiones de manera coherente y sostenida. El trabajo se fundamenta en una revisión documental de normativas, estadísticas y planes de estudio vigentes, complementada con el análisis de prácticas institucionales documentadas.</w:t>
      </w:r>
    </w:p>
    <w:p w14:paraId="7690A2E4" w14:textId="77777777" w:rsidR="00FF5C42" w:rsidRPr="004035CF" w:rsidRDefault="00C07C81" w:rsidP="008B2357">
      <w:pPr>
        <w:jc w:val="both"/>
      </w:pPr>
      <w:r w:rsidRPr="004035CF">
        <w:rPr>
          <w:noProof/>
        </w:rPr>
        <mc:AlternateContent>
          <mc:Choice Requires="wpg">
            <w:drawing>
              <wp:inline distT="0" distB="0" distL="0" distR="0" wp14:anchorId="7690A47B" wp14:editId="7690A47C">
                <wp:extent cx="0" cy="19050"/>
                <wp:effectExtent l="0" t="0" r="0" b="0"/>
                <wp:docPr id="4" name="Rectángulo 4"/>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3" o:spid="_x0000_s3" o:spt="1" type="#_x0000_t1" style="width:0.00pt;height:1.50pt;mso-wrap-distance-left:0.00pt;mso-wrap-distance-top:0.00pt;mso-wrap-distance-right:0.00pt;mso-wrap-distance-bottom:0.00pt;visibility:visible;" fillcolor="#FFFFFF" strokecolor="#000000"/>
            </w:pict>
          </mc:Fallback>
        </mc:AlternateContent>
      </w:r>
      <w:bookmarkEnd w:id="3"/>
    </w:p>
    <w:p w14:paraId="7690A2E5" w14:textId="56918DD5" w:rsidR="00FF5C42" w:rsidRPr="003E10C2" w:rsidRDefault="00C07C81" w:rsidP="003E10C2">
      <w:pPr>
        <w:pStyle w:val="Ttulo2"/>
        <w:jc w:val="center"/>
        <w:rPr>
          <w:color w:val="auto"/>
        </w:rPr>
      </w:pPr>
      <w:bookmarkStart w:id="4" w:name="marco-teórico"/>
      <w:r w:rsidRPr="003E10C2">
        <w:rPr>
          <w:color w:val="auto"/>
        </w:rPr>
        <w:t>Marco teórico</w:t>
      </w:r>
    </w:p>
    <w:p w14:paraId="7690A2E6" w14:textId="7A59CC97" w:rsidR="00FF5C42" w:rsidRPr="003E10C2" w:rsidRDefault="00C07C81" w:rsidP="008B2357">
      <w:pPr>
        <w:pStyle w:val="Ttulo3"/>
        <w:jc w:val="both"/>
        <w:rPr>
          <w:b/>
          <w:bCs/>
          <w:color w:val="auto"/>
        </w:rPr>
      </w:pPr>
      <w:bookmarkStart w:id="5" w:name="X4015894bce47456b7f75298abe79b9243d61257"/>
      <w:r w:rsidRPr="003E10C2">
        <w:rPr>
          <w:b/>
          <w:bCs/>
          <w:color w:val="auto"/>
        </w:rPr>
        <w:t>El diseño industrial como disciplina estratégica</w:t>
      </w:r>
    </w:p>
    <w:p w14:paraId="7690A2E7" w14:textId="77777777" w:rsidR="00FF5C42" w:rsidRPr="004035CF" w:rsidRDefault="00C07C81" w:rsidP="008B2357">
      <w:pPr>
        <w:jc w:val="both"/>
      </w:pPr>
      <w:r w:rsidRPr="004035CF">
        <w:t xml:space="preserve">Cuando el World </w:t>
      </w:r>
      <w:proofErr w:type="spellStart"/>
      <w:r w:rsidRPr="004035CF">
        <w:t>Design</w:t>
      </w:r>
      <w:proofErr w:type="spellEnd"/>
      <w:r w:rsidRPr="004035CF">
        <w:t xml:space="preserve"> </w:t>
      </w:r>
      <w:proofErr w:type="spellStart"/>
      <w:r w:rsidRPr="004035CF">
        <w:t>Organization</w:t>
      </w:r>
      <w:proofErr w:type="spellEnd"/>
      <w:r w:rsidRPr="004035CF">
        <w:t xml:space="preserve"> publicó en 2015 su definición actualizada de diseño industrial, eligió un lenguaje deliberadamente ambicioso: habló de una disciplina de resolución de problemas que impulsa la innovación, construye el éxito empresarial y mejora la calidad de vida mediante productos, sistemas y experiencias innovadoras (WDO, 2015). La definición no menciona la estética hasta que ya ha dejado claro que el diseño industrial opera en el terreno de la estrategia y la economía. Eso no es un accidente.</w:t>
      </w:r>
    </w:p>
    <w:p w14:paraId="7690A2E8" w14:textId="77777777" w:rsidR="00FF5C42" w:rsidRPr="004035CF" w:rsidRDefault="00FF5C42" w:rsidP="008B2357">
      <w:pPr>
        <w:jc w:val="both"/>
      </w:pPr>
    </w:p>
    <w:p w14:paraId="7690A2E9" w14:textId="77777777" w:rsidR="00FF5C42" w:rsidRPr="004035CF" w:rsidRDefault="00C07C81" w:rsidP="008B2357">
      <w:pPr>
        <w:jc w:val="both"/>
      </w:pPr>
      <w:r w:rsidRPr="004035CF">
        <w:t xml:space="preserve">Esa lectura estratégica tiene respaldo empírico. La relación entre inversión en diseño y desempeño competitivo de las empresas ha sido documentada en distintos contextos: el </w:t>
      </w:r>
      <w:proofErr w:type="spellStart"/>
      <w:r w:rsidRPr="004035CF">
        <w:t>Design</w:t>
      </w:r>
      <w:proofErr w:type="spellEnd"/>
      <w:r w:rsidRPr="004035CF">
        <w:t xml:space="preserve"> Council (2018) calculó el valor económico del diseño para el Reino Unido, y autores como Best (2020) han mostrado cómo las empresas que integran el diseño en sus procesos de desarrollo de producto exportan más y con mayor margen. Para México, donde la manufactura ha estado históricamente dominada por la producción bajo especificaciones externas o licencias foráneas, ese argumento tiene una urgencia particular: pasar de fabricar diseños ajenos a generar y proteger diseños propios es, entre otras cosas, un problema de formación de recursos humanos.</w:t>
      </w:r>
    </w:p>
    <w:bookmarkEnd w:id="5"/>
    <w:p w14:paraId="7690A2EA" w14:textId="77777777" w:rsidR="00FF5C42" w:rsidRPr="004035CF" w:rsidRDefault="00FF5C42" w:rsidP="008B2357">
      <w:pPr>
        <w:jc w:val="both"/>
      </w:pPr>
    </w:p>
    <w:p w14:paraId="7690A2EB" w14:textId="25DA832A" w:rsidR="00FF5C42" w:rsidRPr="003E10C2" w:rsidRDefault="00C07C81" w:rsidP="008B2357">
      <w:pPr>
        <w:pStyle w:val="Ttulo3"/>
        <w:jc w:val="both"/>
        <w:rPr>
          <w:b/>
          <w:bCs/>
          <w:color w:val="auto"/>
        </w:rPr>
      </w:pPr>
      <w:bookmarkStart w:id="6" w:name="X0d3f30a1c750bb74319beec7fa8c11c5f5ef7b6"/>
      <w:r w:rsidRPr="003E10C2">
        <w:rPr>
          <w:b/>
          <w:bCs/>
          <w:color w:val="auto"/>
        </w:rPr>
        <w:t>La educación tecnológica en México: contexto y desafíos</w:t>
      </w:r>
    </w:p>
    <w:p w14:paraId="7690A2EC" w14:textId="77777777" w:rsidR="00FF5C42" w:rsidRPr="004035CF" w:rsidRDefault="00C07C81" w:rsidP="008B2357">
      <w:pPr>
        <w:jc w:val="both"/>
      </w:pPr>
      <w:r w:rsidRPr="004035CF">
        <w:t>El SEST reúne a más de trescientas instituciones en todo el país, con una matrícula próxima al millón de estudiantes distribuidos entre carreras de ingeniería, tecnología aplicada y áreas de negocios (SEP, 2023). Su vocación explícita es responder a las demandas del sector productivo regional y nacional, lo que en teoría convierte a estas instituciones en el eslabón más cercano entre la educación superior y la innovación industrial.</w:t>
      </w:r>
    </w:p>
    <w:p w14:paraId="7690A2ED" w14:textId="77777777" w:rsidR="00FF5C42" w:rsidRPr="004035CF" w:rsidRDefault="00FF5C42" w:rsidP="008B2357">
      <w:pPr>
        <w:jc w:val="both"/>
      </w:pPr>
    </w:p>
    <w:p w14:paraId="7690A2EE" w14:textId="77777777" w:rsidR="00FF5C42" w:rsidRPr="004035CF" w:rsidRDefault="00C07C81" w:rsidP="008B2357">
      <w:pPr>
        <w:jc w:val="both"/>
      </w:pPr>
      <w:r w:rsidRPr="004035CF">
        <w:t xml:space="preserve">En la práctica, varios trabajos han documentado que esa proximidad no siempre se traduce en resultados. </w:t>
      </w:r>
      <w:proofErr w:type="spellStart"/>
      <w:r w:rsidRPr="004035CF">
        <w:t>Casalet</w:t>
      </w:r>
      <w:proofErr w:type="spellEnd"/>
      <w:r w:rsidRPr="004035CF">
        <w:t xml:space="preserve"> y González (2019) encontraron que en la gran mayoría de los institutos tecnológicos federales las asignaturas de diseño de productos operan de manera desarticulada respecto al resto del programa: los talleres de prototipado rara vez están vinculados con las materias de diseño, los laboratorios de manufactura digital —cuando los hay— se usan de forma puntual y no como parte de un proceso formativo continuo, y la orientación sobre cómo proteger legalmente un diseño simplemente no forma parte de ninguna asignatura. El egresado puede saber diseñar en sentido técnico, pero no sabe qué hacer con lo que diseña una vez que sale de la institución.</w:t>
      </w:r>
    </w:p>
    <w:bookmarkEnd w:id="6"/>
    <w:p w14:paraId="7690A2EF" w14:textId="77777777" w:rsidR="00FF5C42" w:rsidRPr="004035CF" w:rsidRDefault="00FF5C42" w:rsidP="008B2357">
      <w:pPr>
        <w:jc w:val="both"/>
      </w:pPr>
    </w:p>
    <w:p w14:paraId="7690A2F0" w14:textId="5B7EDA2B" w:rsidR="00FF5C42" w:rsidRPr="003E10C2" w:rsidRDefault="00C07C81" w:rsidP="008B2357">
      <w:pPr>
        <w:pStyle w:val="Ttulo3"/>
        <w:jc w:val="both"/>
        <w:rPr>
          <w:b/>
          <w:bCs/>
          <w:color w:val="auto"/>
        </w:rPr>
      </w:pPr>
      <w:bookmarkStart w:id="7" w:name="X47c009682f32fcec6ef79d718a53522de30e6bd"/>
      <w:r w:rsidRPr="003E10C2">
        <w:rPr>
          <w:b/>
          <w:bCs/>
          <w:color w:val="auto"/>
        </w:rPr>
        <w:t>La propiedad intelectual en el contexto educativo</w:t>
      </w:r>
    </w:p>
    <w:p w14:paraId="7690A2F1" w14:textId="77777777" w:rsidR="00FF5C42" w:rsidRPr="004035CF" w:rsidRDefault="00C07C81" w:rsidP="008B2357">
      <w:pPr>
        <w:jc w:val="both"/>
      </w:pPr>
      <w:r w:rsidRPr="004035CF">
        <w:t xml:space="preserve">El vínculo entre universidades y propiedad intelectual ha sido estudiado principalmente desde la perspectiva de las instituciones de investigación intensiva —las que generan patentes tecnológicas de alto perfil, establecen oficinas de transferencia y negocian licencias con la industria (Siegel, Waldman y Link, 2003; </w:t>
      </w:r>
      <w:proofErr w:type="spellStart"/>
      <w:r w:rsidRPr="004035CF">
        <w:t>Etzkowitz</w:t>
      </w:r>
      <w:proofErr w:type="spellEnd"/>
      <w:r w:rsidRPr="004035CF">
        <w:t xml:space="preserve"> y </w:t>
      </w:r>
      <w:proofErr w:type="spellStart"/>
      <w:r w:rsidRPr="004035CF">
        <w:t>Leydesdorff</w:t>
      </w:r>
      <w:proofErr w:type="spellEnd"/>
      <w:r w:rsidRPr="004035CF">
        <w:t>, 2000). Las instituciones de enseñanza tecnológica, cuyo perfil es distinto, han quedado en un segundo plano en esa literatura, como si la propiedad intelectual fuera un asunto reservado para los laboratorios de investigación avanzada y no para los talleres donde se forman ingenieros y diseñadores.</w:t>
      </w:r>
    </w:p>
    <w:p w14:paraId="7690A2F2" w14:textId="77777777" w:rsidR="00FF5C42" w:rsidRPr="004035CF" w:rsidRDefault="00FF5C42" w:rsidP="008B2357">
      <w:pPr>
        <w:jc w:val="both"/>
      </w:pPr>
    </w:p>
    <w:p w14:paraId="7690A2F3" w14:textId="77777777" w:rsidR="00FF5C42" w:rsidRPr="004035CF" w:rsidRDefault="00C07C81" w:rsidP="008B2357">
      <w:pPr>
        <w:jc w:val="both"/>
      </w:pPr>
      <w:r w:rsidRPr="004035CF">
        <w:t>El IMPI no ha permanecido inactivo frente a ese vacío: iniciativas como “IMPI va a tu escuela” y los módulos de orientación para inventores intentan llevar los conceptos básicos de la propiedad industrial al entorno educativo. Sin embargo, la eficacia de esos programas depende de la disposición de cada institución para recibirlos, y su alcance sigue siendo parcial (IMPI, 2022). La conclusión que emerge de la evidencia disponible es que la inclusión de competencias en propiedad intelectual dentro del currículo formal —no como actividad opcional ni como taller extracurricular, sino como componente explícito de la formación— es la única vía que garantiza que todos los estudiantes, independientemente de la institución en que estudien, tengan acceso a ese conocimiento.</w:t>
      </w:r>
    </w:p>
    <w:p w14:paraId="7690A2F4" w14:textId="77777777" w:rsidR="00FF5C42" w:rsidRPr="004035CF" w:rsidRDefault="00C07C81" w:rsidP="008B2357">
      <w:pPr>
        <w:jc w:val="both"/>
      </w:pPr>
      <w:r w:rsidRPr="004035CF">
        <w:rPr>
          <w:noProof/>
        </w:rPr>
        <mc:AlternateContent>
          <mc:Choice Requires="wpg">
            <w:drawing>
              <wp:inline distT="0" distB="0" distL="0" distR="0" wp14:anchorId="7690A47D" wp14:editId="7690A47E">
                <wp:extent cx="0" cy="19050"/>
                <wp:effectExtent l="0" t="0" r="0" b="0"/>
                <wp:docPr id="5" name="Rectángulo 5"/>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4" o:spid="_x0000_s4" o:spt="1" type="#_x0000_t1" style="width:0.00pt;height:1.50pt;mso-wrap-distance-left:0.00pt;mso-wrap-distance-top:0.00pt;mso-wrap-distance-right:0.00pt;mso-wrap-distance-bottom:0.00pt;visibility:visible;" fillcolor="#FFFFFF" strokecolor="#000000"/>
            </w:pict>
          </mc:Fallback>
        </mc:AlternateContent>
      </w:r>
      <w:bookmarkEnd w:id="4"/>
      <w:bookmarkEnd w:id="7"/>
    </w:p>
    <w:p w14:paraId="7690A2F5" w14:textId="0BC68818" w:rsidR="00FF5C42" w:rsidRPr="003E10C2" w:rsidRDefault="00C07C81" w:rsidP="008B2357">
      <w:pPr>
        <w:pStyle w:val="Ttulo2"/>
        <w:jc w:val="both"/>
        <w:rPr>
          <w:color w:val="auto"/>
        </w:rPr>
      </w:pPr>
      <w:bookmarkStart w:id="8" w:name="X13f8b9e901af65b09aaf6a63b2d0122ea9a9518"/>
      <w:r w:rsidRPr="003E10C2">
        <w:rPr>
          <w:color w:val="auto"/>
        </w:rPr>
        <w:t>El diseño industrial en los planes de estudio tecnológicos</w:t>
      </w:r>
    </w:p>
    <w:p w14:paraId="7690A2F6" w14:textId="24487BEA" w:rsidR="00FF5C42" w:rsidRPr="003E10C2" w:rsidRDefault="00C07C81" w:rsidP="008B2357">
      <w:pPr>
        <w:pStyle w:val="Ttulo3"/>
        <w:jc w:val="both"/>
        <w:rPr>
          <w:b/>
          <w:bCs/>
          <w:color w:val="auto"/>
        </w:rPr>
      </w:pPr>
      <w:bookmarkStart w:id="9" w:name="análisis-curricular-en-el-sest"/>
      <w:r w:rsidRPr="003E10C2">
        <w:rPr>
          <w:b/>
          <w:bCs/>
          <w:color w:val="auto"/>
        </w:rPr>
        <w:t>Análisis curricular en el SEST</w:t>
      </w:r>
    </w:p>
    <w:p w14:paraId="7690A2F7" w14:textId="77777777" w:rsidR="00FF5C42" w:rsidRPr="004035CF" w:rsidRDefault="00C07C81" w:rsidP="008B2357">
      <w:pPr>
        <w:jc w:val="both"/>
      </w:pPr>
      <w:r w:rsidRPr="004035CF">
        <w:t>Una revisión de los programas vigentes en los institutos tecnológicos federales permite identificar un patrón recurrente. Asignaturas relacionadas con el diseño de productos —Diseño de Ingeniería, Diseño de Productos, Ergonomía, Diseño Asistido por Computadora— aparecen de forma consistente en tres carreras: Ingeniería Industrial, Ingeniería Mecatrónica e Ingeniería en Diseño Industrial. En las dos primeras, esas asignaturas tienen un peso relativo modesto dentro del total de créditos; en la tercera, aunque el diseño es el eje del programa, la protección legal del producto sigue siendo un tema marginal.</w:t>
      </w:r>
    </w:p>
    <w:p w14:paraId="7690A2F8" w14:textId="77777777" w:rsidR="00FF5C42" w:rsidRPr="004035CF" w:rsidRDefault="00FF5C42" w:rsidP="008B2357">
      <w:pPr>
        <w:jc w:val="both"/>
      </w:pPr>
    </w:p>
    <w:p w14:paraId="7690A2F9" w14:textId="77777777" w:rsidR="00FF5C42" w:rsidRDefault="00C07C81" w:rsidP="008B2357">
      <w:pPr>
        <w:jc w:val="both"/>
      </w:pPr>
      <w:r w:rsidRPr="004035CF">
        <w:t>El caso de Ingeniería en Diseño Industrial es especialmente ilustrativo porque permite ver la brecha con más claridad. Los planes incluyen modelado tridimensional, diseño conceptual y estudio de materiales, pero cuando se busca dónde se trabaja la propiedad intelectual en sentido práctico —búsqueda de antecedentes, redacción de solicitudes, criterios de novedad— la respuesta habitual es: no se trabaja, o se menciona de pasada en alguna unidad de una materia de emprendimiento. El perfil de egreso, en cambio, suele enunciar competencias en innovación y desarrollo de productos sin que haya ningún mecanismo curricular que permita desarrollarlas en ese sentido. La distancia entre lo que el documento dice y lo que el estudiante aprende es notable.</w:t>
      </w:r>
    </w:p>
    <w:p w14:paraId="7A47D437" w14:textId="77777777" w:rsidR="003E10C2" w:rsidRPr="004035CF" w:rsidRDefault="003E10C2" w:rsidP="008B2357">
      <w:pPr>
        <w:jc w:val="both"/>
      </w:pPr>
    </w:p>
    <w:p w14:paraId="7690A2FA" w14:textId="77777777" w:rsidR="00FF5C42" w:rsidRPr="004035CF" w:rsidRDefault="00C07C81" w:rsidP="008B2357">
      <w:pPr>
        <w:jc w:val="both"/>
      </w:pPr>
      <w:r w:rsidRPr="004035CF">
        <w:t>En el Anexo 1 se incluye una tabla comparativa de los planes de estudio de diseño industrial en cinco instituciones del sector, señalando específicamente las asignaturas vinculadas al diseño de productos y a la propiedad intelectual en cada caso.</w:t>
      </w:r>
    </w:p>
    <w:bookmarkEnd w:id="9"/>
    <w:p w14:paraId="7690A2FB" w14:textId="77777777" w:rsidR="00FF5C42" w:rsidRPr="004035CF" w:rsidRDefault="00FF5C42" w:rsidP="008B2357">
      <w:pPr>
        <w:jc w:val="both"/>
      </w:pPr>
    </w:p>
    <w:p w14:paraId="7690A2FC" w14:textId="0216D569" w:rsidR="00FF5C42" w:rsidRPr="003E10C2" w:rsidRDefault="00C07C81" w:rsidP="008B2357">
      <w:pPr>
        <w:pStyle w:val="Ttulo3"/>
        <w:jc w:val="both"/>
        <w:rPr>
          <w:b/>
          <w:bCs/>
        </w:rPr>
      </w:pPr>
      <w:bookmarkStart w:id="10" w:name="infraestructura-de-apoyo-al-diseño"/>
      <w:r w:rsidRPr="003E10C2">
        <w:rPr>
          <w:b/>
          <w:bCs/>
        </w:rPr>
        <w:t>Infraestructura de apoyo al diseño</w:t>
      </w:r>
    </w:p>
    <w:p w14:paraId="7690A2FD" w14:textId="77777777" w:rsidR="00FF5C42" w:rsidRPr="004035CF" w:rsidRDefault="00C07C81" w:rsidP="008B2357">
      <w:pPr>
        <w:jc w:val="both"/>
      </w:pPr>
      <w:r w:rsidRPr="004035CF">
        <w:t>El análisis curricular tiene que leerse junto con la pregunta sobre infraestructura disponible, porque un plan de estudios que incluya prototipado no sirve de mucho si no hay máquinas para prototipar. Desde mediados de la década pasada, el gobierno federal ha promovido la instalación de espacios de fabricación digital en instituciones del SEST —impresoras 3D, cortadoras láser, fresadoras CNC— a través de programas vinculados a la SEP y al CONAHCYT. El resultado es real pero desigual: las instituciones con mayor matrícula y ubicadas en zonas industriales tienden a contar con equipamiento significativamente mejor que las de zonas menos densas económicamente.</w:t>
      </w:r>
    </w:p>
    <w:p w14:paraId="7690A2FE" w14:textId="77777777" w:rsidR="00FF5C42" w:rsidRPr="004035CF" w:rsidRDefault="00FF5C42" w:rsidP="008B2357">
      <w:pPr>
        <w:jc w:val="both"/>
      </w:pPr>
    </w:p>
    <w:p w14:paraId="7690A2FF" w14:textId="77777777" w:rsidR="00FF5C42" w:rsidRPr="004035CF" w:rsidRDefault="00C07C81" w:rsidP="008B2357">
      <w:pPr>
        <w:jc w:val="both"/>
      </w:pPr>
      <w:r w:rsidRPr="004035CF">
        <w:t>Esa desigualdad importa para este análisis porque el prototipo no es un lujo pedagógico: es un requisito funcional del proceso de registro. Para presentar una solicitud ante el IMPI, el diseñador necesita disponer de vistas técnicas detalladas del objeto desde múltiples perspectivas, una descripción precisa de su forma y, frecuentemente, una muestra física. Un diseño que solo existe como boceto digital no cumple esos requisitos. Esto significa que la infraestructura de taller no es solo un recurso de apoyo a la enseñanza: es el punto donde se decide si un proyecto académico puede convertirse en propiedad industrial registrada.</w:t>
      </w:r>
    </w:p>
    <w:p w14:paraId="7690A300" w14:textId="77777777" w:rsidR="00FF5C42" w:rsidRPr="004035CF" w:rsidRDefault="00C07C81" w:rsidP="008B2357">
      <w:pPr>
        <w:jc w:val="both"/>
      </w:pPr>
      <w:r w:rsidRPr="004035CF">
        <w:rPr>
          <w:noProof/>
        </w:rPr>
        <mc:AlternateContent>
          <mc:Choice Requires="wpg">
            <w:drawing>
              <wp:inline distT="0" distB="0" distL="0" distR="0" wp14:anchorId="7690A47F" wp14:editId="7690A480">
                <wp:extent cx="0" cy="19050"/>
                <wp:effectExtent l="0" t="0" r="0" b="0"/>
                <wp:docPr id="6" name="Rectángulo 6"/>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5" o:spid="_x0000_s5" o:spt="1" type="#_x0000_t1" style="width:0.00pt;height:1.50pt;mso-wrap-distance-left:0.00pt;mso-wrap-distance-top:0.00pt;mso-wrap-distance-right:0.00pt;mso-wrap-distance-bottom:0.00pt;visibility:visible;" fillcolor="#FFFFFF" strokecolor="#000000"/>
            </w:pict>
          </mc:Fallback>
        </mc:AlternateContent>
      </w:r>
      <w:bookmarkEnd w:id="8"/>
      <w:bookmarkEnd w:id="10"/>
    </w:p>
    <w:p w14:paraId="7690A301" w14:textId="4AB1C36F" w:rsidR="00FF5C42" w:rsidRPr="003E10C2" w:rsidRDefault="00C07C81" w:rsidP="008B2357">
      <w:pPr>
        <w:pStyle w:val="Ttulo2"/>
        <w:jc w:val="both"/>
        <w:rPr>
          <w:color w:val="auto"/>
        </w:rPr>
      </w:pPr>
      <w:bookmarkStart w:id="11" w:name="X346e0b2e028b1d909d7719eea05a9b336fb4986"/>
      <w:r w:rsidRPr="003E10C2">
        <w:rPr>
          <w:color w:val="auto"/>
        </w:rPr>
        <w:lastRenderedPageBreak/>
        <w:t>La propiedad intelectual como competencia educativa</w:t>
      </w:r>
    </w:p>
    <w:p w14:paraId="7690A302" w14:textId="6FA158CD" w:rsidR="00FF5C42" w:rsidRPr="003E10C2" w:rsidRDefault="00C07C81" w:rsidP="008B2357">
      <w:pPr>
        <w:pStyle w:val="Ttulo3"/>
        <w:jc w:val="both"/>
        <w:rPr>
          <w:b/>
          <w:bCs/>
          <w:color w:val="auto"/>
        </w:rPr>
      </w:pPr>
      <w:bookmarkStart w:id="12" w:name="el-impi-y-sus-mecanismos-de-registro"/>
      <w:r w:rsidRPr="003E10C2">
        <w:rPr>
          <w:b/>
          <w:bCs/>
          <w:color w:val="auto"/>
        </w:rPr>
        <w:t>El IMPI y sus mecanismos de registro</w:t>
      </w:r>
    </w:p>
    <w:p w14:paraId="7690A303" w14:textId="77777777" w:rsidR="00FF5C42" w:rsidRPr="004035CF" w:rsidRDefault="00C07C81" w:rsidP="008B2357">
      <w:pPr>
        <w:jc w:val="both"/>
      </w:pPr>
      <w:r w:rsidRPr="004035CF">
        <w:t>Fundado en 1993 como organismo descentralizado de la Secretaría de Economía, el IMPI tiene a su cargo la administración de los derechos de propiedad industrial en el país. Para quienes trabajan en diseño de productos, las dos figuras más relevantes son el registro de diseño industrial y el modelo de utilidad, y vale la pena distinguirlas con precisión porque confundirlas es uno de los errores más frecuentes en el ámbito académico.</w:t>
      </w:r>
    </w:p>
    <w:p w14:paraId="7690A304" w14:textId="77777777" w:rsidR="00FF5C42" w:rsidRPr="004035CF" w:rsidRDefault="00FF5C42" w:rsidP="008B2357">
      <w:pPr>
        <w:jc w:val="both"/>
      </w:pPr>
    </w:p>
    <w:p w14:paraId="7690A305" w14:textId="77777777" w:rsidR="00FF5C42" w:rsidRPr="004035CF" w:rsidRDefault="00C07C81" w:rsidP="008B2357">
      <w:pPr>
        <w:jc w:val="both"/>
      </w:pPr>
      <w:r w:rsidRPr="004035CF">
        <w:t>El registro de diseño industrial protege la dimensión visual del objeto: su configuración, sus contornos, sus colores, su textura, todo aquello que le da una apariencia particular sin que esa apariencia tenga que ver con su función técnica. La vigencia es de quince años y no admite renovación. El modelo de utilidad, en cambio, se aplica cuando un objeto incorpora una modificación que mejora su funcionamiento —una nueva disposición de piezas, una forma que facilita el uso— y la protección se extiende por diez años. Los criterios de acceso son menos rigurosos que los de una patente de invención, lo que hace al modelo de utilidad especialmente accesible para proyectos estudiantiles con valor funcional.</w:t>
      </w:r>
    </w:p>
    <w:p w14:paraId="7690A306" w14:textId="77777777" w:rsidR="00FF5C42" w:rsidRPr="004035CF" w:rsidRDefault="00FF5C42" w:rsidP="008B2357">
      <w:pPr>
        <w:jc w:val="both"/>
      </w:pPr>
    </w:p>
    <w:p w14:paraId="7690A307" w14:textId="77777777" w:rsidR="00FF5C42" w:rsidRPr="004035CF" w:rsidRDefault="00C07C81" w:rsidP="008B2357">
      <w:pPr>
        <w:jc w:val="both"/>
      </w:pPr>
      <w:r w:rsidRPr="004035CF">
        <w:t>Un punto que merece subrayarse —porque sus consecuencias en el entorno educativo son considerables— es el principio de novedad absoluta que rige el sistema de registro. Antes de presentar la solicitud, el diseño no debe haber sido divulgado públicamente por ningún medio: ni en una feria escolar, ni en una red social, ni en un portafolio digital visible para terceros. Esta condición es permanentemente ignorada en las instituciones educativas, donde es habitual publicar proyectos estudiantiles en redes institucionales o presentarlos en exposiciones sin evaluar previamente si existe un derecho de registro que valga la pena preservar. Cada vez que eso ocurre sin esa evaluación previa, se está descartando —generalmente sin saberlo— una posibilidad de registro.</w:t>
      </w:r>
    </w:p>
    <w:bookmarkEnd w:id="12"/>
    <w:p w14:paraId="7690A308" w14:textId="77777777" w:rsidR="00FF5C42" w:rsidRPr="004035CF" w:rsidRDefault="00FF5C42" w:rsidP="008B2357">
      <w:pPr>
        <w:jc w:val="both"/>
      </w:pPr>
    </w:p>
    <w:p w14:paraId="7690A309" w14:textId="0550F4AC" w:rsidR="00FF5C42" w:rsidRPr="003E10C2" w:rsidRDefault="00C07C81" w:rsidP="008B2357">
      <w:pPr>
        <w:pStyle w:val="Ttulo3"/>
        <w:jc w:val="both"/>
        <w:rPr>
          <w:b/>
          <w:bCs/>
          <w:color w:val="auto"/>
        </w:rPr>
      </w:pPr>
      <w:bookmarkStart w:id="13" w:name="X8aa34ff44f178b2e078c03d4be3e26828753e24"/>
      <w:r w:rsidRPr="003E10C2">
        <w:rPr>
          <w:b/>
          <w:bCs/>
          <w:color w:val="auto"/>
        </w:rPr>
        <w:t>Barreras para el aprovechamiento del IMPI en el entorno educativo</w:t>
      </w:r>
    </w:p>
    <w:p w14:paraId="7690A30A" w14:textId="77777777" w:rsidR="00FF5C42" w:rsidRPr="004035CF" w:rsidRDefault="00C07C81" w:rsidP="008B2357">
      <w:pPr>
        <w:jc w:val="both"/>
      </w:pPr>
      <w:r w:rsidRPr="004035CF">
        <w:t xml:space="preserve">Que los estudiantes de carreras tecnológicas no usen los mecanismos del IMPI no responde a una sola causa sino a varias que operan al mismo tiempo. La más básica es el desconocimiento: la mayoría no sabe qué figura jurídica aplicaría a su proyecto, qué documentación necesitaría preparar ni ante quién presentarla. A eso se suma el costo del trámite, </w:t>
      </w:r>
      <w:proofErr w:type="gramStart"/>
      <w:r w:rsidRPr="004035CF">
        <w:t>que</w:t>
      </w:r>
      <w:proofErr w:type="gramEnd"/>
      <w:r w:rsidRPr="004035CF">
        <w:t xml:space="preserve"> aunque está subsidiado para instituciones educativas y personas físicas, sigue siendo percibido como una barrera cuando no existe respaldo institucional. Y luego está la ausencia de estructuras intermedias: la mayor parte de los institutos tecnológicos no cuenta con una oficina de vinculación tecnológica capaz de orientar a estudiantes y docentes durante el proceso.</w:t>
      </w:r>
    </w:p>
    <w:p w14:paraId="7690A30B" w14:textId="77777777" w:rsidR="00FF5C42" w:rsidRPr="004035CF" w:rsidRDefault="00FF5C42" w:rsidP="008B2357">
      <w:pPr>
        <w:jc w:val="both"/>
      </w:pPr>
    </w:p>
    <w:p w14:paraId="7690A30C" w14:textId="77777777" w:rsidR="00FF5C42" w:rsidRPr="004035CF" w:rsidRDefault="00C07C81" w:rsidP="008B2357">
      <w:pPr>
        <w:jc w:val="both"/>
      </w:pPr>
      <w:r w:rsidRPr="004035CF">
        <w:t>En el Anexo 2 se presenta una tabla con los principales tipos de registro disponibles en el IMPI, sus requisitos básicos, costos aproximados vigentes y tiempos estimados de resolución.</w:t>
      </w:r>
    </w:p>
    <w:p w14:paraId="7690A30D" w14:textId="77777777" w:rsidR="00FF5C42" w:rsidRPr="004035CF" w:rsidRDefault="00FF5C42" w:rsidP="008B2357">
      <w:pPr>
        <w:jc w:val="both"/>
      </w:pPr>
    </w:p>
    <w:p w14:paraId="7690A30E" w14:textId="77777777" w:rsidR="00FF5C42" w:rsidRDefault="00C07C81" w:rsidP="008B2357">
      <w:pPr>
        <w:jc w:val="both"/>
      </w:pPr>
      <w:r w:rsidRPr="004035CF">
        <w:t>Superar esas barreras no es un asunto que pueda resolverse de forma espontánea. Requiere que las instituciones definan políticas internas de propiedad intelectual, inviertan en la capacitación de su cuerpo docente y establezcan mecanismos de colaboración formal con el IMPI que vayan más allá de las visitas ocasionales. Cuando los proyectos tienen potencial comercial claro, esos mecanismos deberían incluir también la posibilidad de acceder a apoyos económicos para cubrir los costos del registro.</w:t>
      </w:r>
    </w:p>
    <w:p w14:paraId="09D7E53F" w14:textId="77777777" w:rsidR="003E10C2" w:rsidRDefault="003E10C2" w:rsidP="008B2357">
      <w:pPr>
        <w:jc w:val="both"/>
      </w:pPr>
    </w:p>
    <w:p w14:paraId="343FCBE6" w14:textId="77777777" w:rsidR="003E10C2" w:rsidRDefault="003E10C2" w:rsidP="008B2357">
      <w:pPr>
        <w:jc w:val="both"/>
      </w:pPr>
    </w:p>
    <w:p w14:paraId="144DAF9E" w14:textId="77777777" w:rsidR="003E10C2" w:rsidRPr="004035CF" w:rsidRDefault="003E10C2" w:rsidP="008B2357">
      <w:pPr>
        <w:jc w:val="both"/>
      </w:pPr>
    </w:p>
    <w:p w14:paraId="7690A30F" w14:textId="77777777" w:rsidR="00FF5C42" w:rsidRPr="004035CF" w:rsidRDefault="00C07C81" w:rsidP="008B2357">
      <w:pPr>
        <w:jc w:val="both"/>
      </w:pPr>
      <w:r w:rsidRPr="004035CF">
        <w:rPr>
          <w:noProof/>
        </w:rPr>
        <mc:AlternateContent>
          <mc:Choice Requires="wpg">
            <w:drawing>
              <wp:inline distT="0" distB="0" distL="0" distR="0" wp14:anchorId="7690A481" wp14:editId="7690A482">
                <wp:extent cx="0" cy="19050"/>
                <wp:effectExtent l="0" t="0" r="0" b="0"/>
                <wp:docPr id="7" name="Rectángulo 7"/>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6" o:spid="_x0000_s6" o:spt="1" type="#_x0000_t1" style="width:0.00pt;height:1.50pt;mso-wrap-distance-left:0.00pt;mso-wrap-distance-top:0.00pt;mso-wrap-distance-right:0.00pt;mso-wrap-distance-bottom:0.00pt;visibility:visible;" fillcolor="#FFFFFF" strokecolor="#000000"/>
            </w:pict>
          </mc:Fallback>
        </mc:AlternateContent>
      </w:r>
      <w:bookmarkEnd w:id="11"/>
      <w:bookmarkEnd w:id="13"/>
    </w:p>
    <w:p w14:paraId="7690A310" w14:textId="006AE445" w:rsidR="00FF5C42" w:rsidRPr="003E10C2" w:rsidRDefault="00C07C81" w:rsidP="008B2357">
      <w:pPr>
        <w:pStyle w:val="Ttulo2"/>
        <w:jc w:val="both"/>
        <w:rPr>
          <w:color w:val="auto"/>
        </w:rPr>
      </w:pPr>
      <w:bookmarkStart w:id="14" w:name="Xa83f4ddbb341589b66139f73c9a20359147b35f"/>
      <w:r w:rsidRPr="003E10C2">
        <w:rPr>
          <w:color w:val="auto"/>
        </w:rPr>
        <w:lastRenderedPageBreak/>
        <w:t>Propuesta: modelo de competencias en diseño industrial y propiedad intelectual</w:t>
      </w:r>
    </w:p>
    <w:p w14:paraId="7690A311" w14:textId="48DFF632" w:rsidR="00FF5C42" w:rsidRPr="003E10C2" w:rsidRDefault="00C07C81" w:rsidP="008B2357">
      <w:pPr>
        <w:pStyle w:val="Ttulo3"/>
        <w:jc w:val="both"/>
        <w:rPr>
          <w:b/>
          <w:bCs/>
          <w:color w:val="auto"/>
        </w:rPr>
      </w:pPr>
      <w:bookmarkStart w:id="15" w:name="fundamentos-del-modelo"/>
      <w:r w:rsidRPr="003E10C2">
        <w:rPr>
          <w:b/>
          <w:bCs/>
          <w:color w:val="auto"/>
        </w:rPr>
        <w:t>Fundamentos del modelo</w:t>
      </w:r>
    </w:p>
    <w:p w14:paraId="7690A312" w14:textId="77777777" w:rsidR="00FF5C42" w:rsidRPr="004035CF" w:rsidRDefault="00C07C81" w:rsidP="008B2357">
      <w:pPr>
        <w:jc w:val="both"/>
      </w:pPr>
      <w:r w:rsidRPr="004035CF">
        <w:t>La propuesta que se presenta a continuación nace de una premisa sencilla: si los programas de diseño industrial en el SEST quisieran que sus egresados fueran capaces de proteger y comercializar lo que diseñan, el currículo tendría que estructurarse en torno al ciclo completo de ese proceso, no solo en torno a sus fases iniciales. Con esa premisa como punto de partida, se plantea un modelo organizado en cuatro ejes de competencia interdependientes.</w:t>
      </w:r>
    </w:p>
    <w:p w14:paraId="7690A313" w14:textId="77777777" w:rsidR="00FF5C42" w:rsidRPr="004035CF" w:rsidRDefault="00FF5C42" w:rsidP="008B2357">
      <w:pPr>
        <w:jc w:val="both"/>
      </w:pPr>
    </w:p>
    <w:p w14:paraId="7690A314" w14:textId="77777777" w:rsidR="00FF5C42" w:rsidRPr="004035CF" w:rsidRDefault="00C07C81" w:rsidP="008B2357">
      <w:pPr>
        <w:jc w:val="both"/>
      </w:pPr>
      <w:r w:rsidRPr="004035CF">
        <w:t>El primero, diseño conceptual y formal, incluye la identificación de necesidades del usuario, la generación de soluciones alternativas, el dominio de herramientas de diseño asistido por computadora y la capacidad de documentar especificaciones técnicas. El segundo, prototipado y validación, cubre las técnicas de fabricación digital, las pruebas de funcionamiento bajo condiciones reales y la evaluación de factores ergonómicos y de usabilidad. El tercero, protección de la propiedad intelectual, comprende el conocimiento del sistema de propiedad industrial mexicano e internacional, la búsqueda en bases de datos de antecedentes, la redacción de solicitudes de registro y el manejo básico de los derechos derivados. El cuarto, comercialización e impacto, integra capacidades de transferencia tecnológica, licenciamiento, emprendimiento basado en diseño y evaluación de impacto social y ambiental.</w:t>
      </w:r>
    </w:p>
    <w:p w14:paraId="7690A315" w14:textId="77777777" w:rsidR="00FF5C42" w:rsidRPr="004035CF" w:rsidRDefault="00FF5C42" w:rsidP="008B2357">
      <w:pPr>
        <w:jc w:val="both"/>
      </w:pPr>
    </w:p>
    <w:p w14:paraId="7690A316" w14:textId="77777777" w:rsidR="00FF5C42" w:rsidRPr="004035CF" w:rsidRDefault="00C07C81" w:rsidP="008B2357">
      <w:pPr>
        <w:jc w:val="both"/>
      </w:pPr>
      <w:r w:rsidRPr="004035CF">
        <w:t>Lo que distingue a este modelo no es la novedad de los contenidos —todos están presentes de alguna forma en la literatura sobre educación en diseño— sino su articulación explícita dentro de un trayecto formativo continuo que no termina en el prototipo.</w:t>
      </w:r>
    </w:p>
    <w:bookmarkEnd w:id="15"/>
    <w:p w14:paraId="7690A317" w14:textId="77777777" w:rsidR="00FF5C42" w:rsidRPr="004035CF" w:rsidRDefault="00FF5C42" w:rsidP="008B2357">
      <w:pPr>
        <w:jc w:val="both"/>
      </w:pPr>
    </w:p>
    <w:p w14:paraId="7690A318" w14:textId="38999F50" w:rsidR="00FF5C42" w:rsidRPr="003E10C2" w:rsidRDefault="00C07C81" w:rsidP="008B2357">
      <w:pPr>
        <w:pStyle w:val="Ttulo3"/>
        <w:jc w:val="both"/>
        <w:rPr>
          <w:b/>
          <w:bCs/>
          <w:color w:val="auto"/>
        </w:rPr>
      </w:pPr>
      <w:bookmarkStart w:id="16" w:name="estrategias-de-implementación"/>
      <w:r w:rsidRPr="003E10C2">
        <w:rPr>
          <w:b/>
          <w:bCs/>
          <w:color w:val="auto"/>
        </w:rPr>
        <w:t>Estrategias de implementación</w:t>
      </w:r>
    </w:p>
    <w:p w14:paraId="7690A319" w14:textId="77777777" w:rsidR="00FF5C42" w:rsidRPr="004035CF" w:rsidRDefault="00C07C81" w:rsidP="008B2357">
      <w:pPr>
        <w:jc w:val="both"/>
      </w:pPr>
      <w:r w:rsidRPr="004035CF">
        <w:t xml:space="preserve">El punto de entrada más viable para implementar este modelo es el aprendizaje basado en proyectos (ABP) de carácter longitudinal. La idea es que a lo largo de los cuatro años de la carrera los estudiantes desarrollen proyectos que vayan ganando complejidad progresivamente, incorporando en cada etapa los cuatro ejes de competencia. Esto no significa que todas las asignaturas deban transformarse en talleres de proyecto, sino que exista un hilo conductor —un proyecto integrador semestral o anual— que obligue a los estudiantes a atravesar todas las fases del ciclo de diseño antes de graduarse. El producto esperado al final del trayecto no sería solo un prototipo sino también un expediente de </w:t>
      </w:r>
      <w:proofErr w:type="spellStart"/>
      <w:r w:rsidRPr="004035CF">
        <w:t>registrabilidad</w:t>
      </w:r>
      <w:proofErr w:type="spellEnd"/>
      <w:r w:rsidRPr="004035CF">
        <w:t xml:space="preserve"> o, en los casos más desarrollados, una solicitud de registro en trámite.</w:t>
      </w:r>
    </w:p>
    <w:p w14:paraId="7690A31A" w14:textId="77777777" w:rsidR="00FF5C42" w:rsidRPr="004035CF" w:rsidRDefault="00FF5C42" w:rsidP="008B2357">
      <w:pPr>
        <w:jc w:val="both"/>
      </w:pPr>
    </w:p>
    <w:p w14:paraId="7690A31B" w14:textId="77777777" w:rsidR="00FF5C42" w:rsidRPr="004035CF" w:rsidRDefault="00C07C81" w:rsidP="008B2357">
      <w:pPr>
        <w:jc w:val="both"/>
      </w:pPr>
      <w:r w:rsidRPr="004035CF">
        <w:t>Para el eje de propiedad intelectual, la estrategia más directa es la incorporación de talleres prácticos de búsqueda en las herramientas del IMPI —MARCANET y PATMEX— y en los sistemas internacionales de la OMPI. Estos espacios formativos, impartidos por docentes con formación específica o en colaboración con funcionarios del IMPI, no pretenden convertir a los estudiantes en agentes de propiedad industrial, sino dotarlos de la autonomía básica para evaluar si su propio diseño tiene posibilidades de registro y para iniciar el proceso si la respuesta es afirmativa.</w:t>
      </w:r>
    </w:p>
    <w:p w14:paraId="7690A31C" w14:textId="77777777" w:rsidR="00FF5C42" w:rsidRPr="004035CF" w:rsidRDefault="00C07C81" w:rsidP="008B2357">
      <w:pPr>
        <w:jc w:val="both"/>
      </w:pPr>
      <w:r w:rsidRPr="004035CF">
        <w:t>Una figura adicional que vale la pena considerar es la clínica de propiedad industrial institucional, un modelo que ya funciona en diversas universidades de América del Norte y Europa, y en algunas instituciones de Brasil y España. Bajo ese esquema, estudiantes de semestres avanzados y docentes especializados ofrecen orientación en propiedad industrial tanto a la comunidad interna como a empresas pequeñas y medianas del entorno regional. La lógica es de doble beneficio: los estudiantes aprenden haciendo, y la institución fortalece su relación con el sector productivo local.</w:t>
      </w:r>
    </w:p>
    <w:p w14:paraId="7690A31D" w14:textId="77777777" w:rsidR="00FF5C42" w:rsidRPr="004035CF" w:rsidRDefault="00FF5C42" w:rsidP="008B2357">
      <w:pPr>
        <w:jc w:val="both"/>
      </w:pPr>
    </w:p>
    <w:p w14:paraId="7690A31E" w14:textId="77777777" w:rsidR="00FF5C42" w:rsidRPr="004035CF" w:rsidRDefault="00C07C81" w:rsidP="008B2357">
      <w:pPr>
        <w:jc w:val="both"/>
      </w:pPr>
      <w:r w:rsidRPr="004035CF">
        <w:t>En el Anexo 3 se presenta el modelo de competencias con sus cuatro ejes y la progresión esperada por niveles a lo largo de la carrera.</w:t>
      </w:r>
    </w:p>
    <w:p w14:paraId="7690A31F" w14:textId="77777777" w:rsidR="00FF5C42" w:rsidRPr="004035CF" w:rsidRDefault="00C07C81" w:rsidP="008B2357">
      <w:pPr>
        <w:jc w:val="both"/>
      </w:pPr>
      <w:r w:rsidRPr="004035CF">
        <w:rPr>
          <w:noProof/>
        </w:rPr>
        <mc:AlternateContent>
          <mc:Choice Requires="wpg">
            <w:drawing>
              <wp:inline distT="0" distB="0" distL="0" distR="0" wp14:anchorId="7690A483" wp14:editId="7690A484">
                <wp:extent cx="0" cy="19050"/>
                <wp:effectExtent l="0" t="0" r="0" b="0"/>
                <wp:docPr id="8" name="Rectángulo 8"/>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7" o:spid="_x0000_s7" o:spt="1" type="#_x0000_t1" style="width:0.00pt;height:1.50pt;mso-wrap-distance-left:0.00pt;mso-wrap-distance-top:0.00pt;mso-wrap-distance-right:0.00pt;mso-wrap-distance-bottom:0.00pt;visibility:visible;" fillcolor="#FFFFFF" strokecolor="#000000"/>
            </w:pict>
          </mc:Fallback>
        </mc:AlternateContent>
      </w:r>
      <w:bookmarkEnd w:id="14"/>
      <w:bookmarkEnd w:id="16"/>
    </w:p>
    <w:p w14:paraId="7690A321" w14:textId="067ABC4E" w:rsidR="00FF5C42" w:rsidRPr="003E10C2" w:rsidRDefault="00C07C81" w:rsidP="003E10C2">
      <w:pPr>
        <w:pStyle w:val="Ttulo2"/>
        <w:jc w:val="center"/>
        <w:rPr>
          <w:color w:val="auto"/>
        </w:rPr>
      </w:pPr>
      <w:bookmarkStart w:id="17" w:name="conclusiones"/>
      <w:r w:rsidRPr="003E10C2">
        <w:rPr>
          <w:color w:val="auto"/>
        </w:rPr>
        <w:lastRenderedPageBreak/>
        <w:t>Conclusiones</w:t>
      </w:r>
    </w:p>
    <w:p w14:paraId="7690A322" w14:textId="77777777" w:rsidR="00FF5C42" w:rsidRPr="004035CF" w:rsidRDefault="00C07C81" w:rsidP="008B2357">
      <w:pPr>
        <w:jc w:val="both"/>
      </w:pPr>
      <w:r w:rsidRPr="004035CF">
        <w:t>Hay una asimetría que este artículo ha intentado poner en evidencia desde distintos ángulos: México invierte en formar diseñadores e ingenieros, pero no invierte con la misma coherencia en enseñarles a proteger lo que crean. Esa asimetría tiene consecuencias concretas —egresados que no registran sus proyectos, empresas que no aprovechan el conocimiento técnico de sus colaboradores, instituciones que no construyen portafolios de propiedad industrial— y tiene también una causa identificable: los planes de estudio del SEST no incluyen de manera sistemática las competencias necesarias para cerrar el ciclo del diseño.</w:t>
      </w:r>
    </w:p>
    <w:p w14:paraId="7690A323" w14:textId="77777777" w:rsidR="00FF5C42" w:rsidRPr="004035CF" w:rsidRDefault="00FF5C42" w:rsidP="008B2357">
      <w:pPr>
        <w:jc w:val="both"/>
      </w:pPr>
    </w:p>
    <w:p w14:paraId="7690A324" w14:textId="77777777" w:rsidR="00FF5C42" w:rsidRPr="004035CF" w:rsidRDefault="00C07C81" w:rsidP="008B2357">
      <w:pPr>
        <w:jc w:val="both"/>
      </w:pPr>
      <w:r w:rsidRPr="004035CF">
        <w:t>El modelo de competencias que se ha propuesto en este trabajo ofrece una respuesta estructurada a ese problema. Su valor no está en prescribir asignaturas específicas —cada institución tendrá sus propias condiciones curriculares— sino en proponer una lógica de organización que vincule de manera explícita el diseño conceptual, el prototipado, la protección legal y la comercialización. Esa lógica puede adoptarse con distintos grados de intensidad y en tiempos distintos, pero el punto de partida es claro: reconocer que la formación en diseño industrial no está completa si se detiene antes de llegar al registro.</w:t>
      </w:r>
    </w:p>
    <w:p w14:paraId="7690A325" w14:textId="77777777" w:rsidR="00FF5C42" w:rsidRPr="004035CF" w:rsidRDefault="00FF5C42" w:rsidP="008B2357">
      <w:pPr>
        <w:jc w:val="both"/>
      </w:pPr>
    </w:p>
    <w:p w14:paraId="7690A326" w14:textId="77777777" w:rsidR="00FF5C42" w:rsidRPr="004035CF" w:rsidRDefault="00C07C81" w:rsidP="008B2357">
      <w:pPr>
        <w:jc w:val="both"/>
      </w:pPr>
      <w:r w:rsidRPr="004035CF">
        <w:t>Más allá del argumento pedagógico, hay uno de política pública que merece mencionarse al cierre. La capacidad de México para competir en mercados donde el diseño tiene valor —que son cada vez más mercados, en sectores cada vez más diversos— depende en parte de que sus profesionales sepan proteger lo que producen. Las instituciones del SEST, por su distribución geográfica, por su perfil orientado al sector productivo y por el volumen de estudiantes que forman cada año, están en condiciones de hacer una contribución significativa en ese sentido. La pregunta es si están dispuestas a reorganizar sus prioridades curriculares para que eso ocurra.</w:t>
      </w:r>
    </w:p>
    <w:p w14:paraId="7690A327" w14:textId="77777777" w:rsidR="00FF5C42" w:rsidRPr="004035CF" w:rsidRDefault="00C07C81" w:rsidP="008B2357">
      <w:pPr>
        <w:jc w:val="both"/>
      </w:pPr>
      <w:r w:rsidRPr="004035CF">
        <w:rPr>
          <w:noProof/>
        </w:rPr>
        <mc:AlternateContent>
          <mc:Choice Requires="wpg">
            <w:drawing>
              <wp:inline distT="0" distB="0" distL="0" distR="0" wp14:anchorId="7690A485" wp14:editId="7690A486">
                <wp:extent cx="0" cy="19050"/>
                <wp:effectExtent l="0" t="0" r="0" b="0"/>
                <wp:docPr id="9" name="Rectángulo 9"/>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8" o:spid="_x0000_s8" o:spt="1" type="#_x0000_t1" style="width:0.00pt;height:1.50pt;mso-wrap-distance-left:0.00pt;mso-wrap-distance-top:0.00pt;mso-wrap-distance-right:0.00pt;mso-wrap-distance-bottom:0.00pt;visibility:visible;" fillcolor="#FFFFFF" strokecolor="#000000"/>
            </w:pict>
          </mc:Fallback>
        </mc:AlternateContent>
      </w:r>
      <w:bookmarkEnd w:id="17"/>
    </w:p>
    <w:p w14:paraId="3BC233EF" w14:textId="77777777" w:rsidR="003E10C2" w:rsidRDefault="003E10C2" w:rsidP="008B2357">
      <w:pPr>
        <w:pStyle w:val="Ttulo2"/>
        <w:jc w:val="center"/>
        <w:rPr>
          <w:color w:val="auto"/>
        </w:rPr>
      </w:pPr>
      <w:bookmarkStart w:id="18" w:name="referencias"/>
    </w:p>
    <w:p w14:paraId="0B0091A7" w14:textId="77777777" w:rsidR="003E10C2" w:rsidRDefault="003E10C2" w:rsidP="008B2357">
      <w:pPr>
        <w:pStyle w:val="Ttulo2"/>
        <w:jc w:val="center"/>
        <w:rPr>
          <w:color w:val="auto"/>
        </w:rPr>
      </w:pPr>
    </w:p>
    <w:p w14:paraId="4E82EC61" w14:textId="77777777" w:rsidR="003E10C2" w:rsidRDefault="003E10C2" w:rsidP="008B2357">
      <w:pPr>
        <w:pStyle w:val="Ttulo2"/>
        <w:jc w:val="center"/>
        <w:rPr>
          <w:color w:val="auto"/>
        </w:rPr>
      </w:pPr>
    </w:p>
    <w:p w14:paraId="68CCD0A1" w14:textId="77777777" w:rsidR="003E10C2" w:rsidRDefault="003E10C2" w:rsidP="008B2357">
      <w:pPr>
        <w:pStyle w:val="Ttulo2"/>
        <w:jc w:val="center"/>
        <w:rPr>
          <w:color w:val="auto"/>
        </w:rPr>
      </w:pPr>
    </w:p>
    <w:p w14:paraId="26D1FE59" w14:textId="77777777" w:rsidR="003E10C2" w:rsidRDefault="003E10C2" w:rsidP="008B2357">
      <w:pPr>
        <w:pStyle w:val="Ttulo2"/>
        <w:jc w:val="center"/>
        <w:rPr>
          <w:color w:val="auto"/>
        </w:rPr>
      </w:pPr>
    </w:p>
    <w:p w14:paraId="59A7C3FA" w14:textId="77777777" w:rsidR="003E10C2" w:rsidRDefault="003E10C2" w:rsidP="008B2357">
      <w:pPr>
        <w:pStyle w:val="Ttulo2"/>
        <w:jc w:val="center"/>
        <w:rPr>
          <w:color w:val="auto"/>
        </w:rPr>
      </w:pPr>
    </w:p>
    <w:p w14:paraId="33F04E0E" w14:textId="77777777" w:rsidR="003E10C2" w:rsidRDefault="003E10C2" w:rsidP="008B2357">
      <w:pPr>
        <w:pStyle w:val="Ttulo2"/>
        <w:jc w:val="center"/>
        <w:rPr>
          <w:color w:val="auto"/>
        </w:rPr>
      </w:pPr>
    </w:p>
    <w:p w14:paraId="09496F3B" w14:textId="77777777" w:rsidR="003E10C2" w:rsidRDefault="003E10C2" w:rsidP="008B2357">
      <w:pPr>
        <w:pStyle w:val="Ttulo2"/>
        <w:jc w:val="center"/>
        <w:rPr>
          <w:color w:val="auto"/>
        </w:rPr>
      </w:pPr>
    </w:p>
    <w:p w14:paraId="79EB84DA" w14:textId="77777777" w:rsidR="003E10C2" w:rsidRDefault="003E10C2" w:rsidP="008B2357">
      <w:pPr>
        <w:pStyle w:val="Ttulo2"/>
        <w:jc w:val="center"/>
        <w:rPr>
          <w:color w:val="auto"/>
        </w:rPr>
      </w:pPr>
    </w:p>
    <w:p w14:paraId="58993C0B" w14:textId="77777777" w:rsidR="003E10C2" w:rsidRDefault="003E10C2" w:rsidP="008B2357">
      <w:pPr>
        <w:pStyle w:val="Ttulo2"/>
        <w:jc w:val="center"/>
        <w:rPr>
          <w:color w:val="auto"/>
        </w:rPr>
      </w:pPr>
    </w:p>
    <w:p w14:paraId="4FACEF71" w14:textId="77777777" w:rsidR="003E10C2" w:rsidRDefault="003E10C2" w:rsidP="008B2357">
      <w:pPr>
        <w:pStyle w:val="Ttulo2"/>
        <w:jc w:val="center"/>
        <w:rPr>
          <w:color w:val="auto"/>
        </w:rPr>
      </w:pPr>
    </w:p>
    <w:p w14:paraId="0F4E1B3B" w14:textId="77777777" w:rsidR="003E10C2" w:rsidRDefault="003E10C2" w:rsidP="008B2357">
      <w:pPr>
        <w:pStyle w:val="Ttulo2"/>
        <w:jc w:val="center"/>
        <w:rPr>
          <w:color w:val="auto"/>
        </w:rPr>
      </w:pPr>
    </w:p>
    <w:p w14:paraId="7690A328" w14:textId="09A1628B" w:rsidR="00FF5C42" w:rsidRPr="008B2357" w:rsidRDefault="00C07C81" w:rsidP="008B2357">
      <w:pPr>
        <w:pStyle w:val="Ttulo2"/>
        <w:jc w:val="center"/>
        <w:rPr>
          <w:color w:val="auto"/>
        </w:rPr>
      </w:pPr>
      <w:r w:rsidRPr="008B2357">
        <w:rPr>
          <w:color w:val="auto"/>
        </w:rPr>
        <w:lastRenderedPageBreak/>
        <w:t>Referencias</w:t>
      </w:r>
    </w:p>
    <w:p w14:paraId="7690A329" w14:textId="77777777" w:rsidR="00FF5C42" w:rsidRPr="004035CF" w:rsidRDefault="00C07C81" w:rsidP="008B2357">
      <w:pPr>
        <w:ind w:left="567" w:hanging="567"/>
        <w:jc w:val="both"/>
      </w:pPr>
      <w:r w:rsidRPr="004035CF">
        <w:t xml:space="preserve">Best, K. (2020). </w:t>
      </w:r>
      <w:proofErr w:type="spellStart"/>
      <w:r w:rsidRPr="004035CF">
        <w:rPr>
          <w:i/>
          <w:iCs/>
        </w:rPr>
        <w:t>Design</w:t>
      </w:r>
      <w:proofErr w:type="spellEnd"/>
      <w:r w:rsidRPr="004035CF">
        <w:rPr>
          <w:i/>
          <w:iCs/>
        </w:rPr>
        <w:t xml:space="preserve"> </w:t>
      </w:r>
      <w:proofErr w:type="spellStart"/>
      <w:r w:rsidRPr="004035CF">
        <w:rPr>
          <w:i/>
          <w:iCs/>
        </w:rPr>
        <w:t>management</w:t>
      </w:r>
      <w:proofErr w:type="spellEnd"/>
      <w:r w:rsidRPr="004035CF">
        <w:rPr>
          <w:i/>
          <w:iCs/>
        </w:rPr>
        <w:t xml:space="preserve">: </w:t>
      </w:r>
      <w:proofErr w:type="spellStart"/>
      <w:r w:rsidRPr="004035CF">
        <w:rPr>
          <w:i/>
          <w:iCs/>
        </w:rPr>
        <w:t>Managing</w:t>
      </w:r>
      <w:proofErr w:type="spellEnd"/>
      <w:r w:rsidRPr="004035CF">
        <w:rPr>
          <w:i/>
          <w:iCs/>
        </w:rPr>
        <w:t xml:space="preserve"> </w:t>
      </w:r>
      <w:proofErr w:type="spellStart"/>
      <w:r w:rsidRPr="004035CF">
        <w:rPr>
          <w:i/>
          <w:iCs/>
        </w:rPr>
        <w:t>design</w:t>
      </w:r>
      <w:proofErr w:type="spellEnd"/>
      <w:r w:rsidRPr="004035CF">
        <w:rPr>
          <w:i/>
          <w:iCs/>
        </w:rPr>
        <w:t xml:space="preserve"> </w:t>
      </w:r>
      <w:proofErr w:type="spellStart"/>
      <w:r w:rsidRPr="004035CF">
        <w:rPr>
          <w:i/>
          <w:iCs/>
        </w:rPr>
        <w:t>strategy</w:t>
      </w:r>
      <w:proofErr w:type="spellEnd"/>
      <w:r w:rsidRPr="004035CF">
        <w:rPr>
          <w:i/>
          <w:iCs/>
        </w:rPr>
        <w:t xml:space="preserve">, </w:t>
      </w:r>
      <w:proofErr w:type="spellStart"/>
      <w:r w:rsidRPr="004035CF">
        <w:rPr>
          <w:i/>
          <w:iCs/>
        </w:rPr>
        <w:t>process</w:t>
      </w:r>
      <w:proofErr w:type="spellEnd"/>
      <w:r w:rsidRPr="004035CF">
        <w:rPr>
          <w:i/>
          <w:iCs/>
        </w:rPr>
        <w:t xml:space="preserve"> and </w:t>
      </w:r>
      <w:proofErr w:type="spellStart"/>
      <w:r w:rsidRPr="004035CF">
        <w:rPr>
          <w:i/>
          <w:iCs/>
        </w:rPr>
        <w:t>implementation</w:t>
      </w:r>
      <w:proofErr w:type="spellEnd"/>
      <w:r w:rsidRPr="004035CF">
        <w:t xml:space="preserve"> (3a ed.). AVA Publishing.</w:t>
      </w:r>
    </w:p>
    <w:p w14:paraId="7690A32A" w14:textId="77777777" w:rsidR="00FF5C42" w:rsidRPr="004035CF" w:rsidRDefault="00C07C81" w:rsidP="008B2357">
      <w:pPr>
        <w:ind w:left="567" w:hanging="567"/>
        <w:jc w:val="both"/>
      </w:pPr>
      <w:proofErr w:type="spellStart"/>
      <w:r w:rsidRPr="004035CF">
        <w:t>Casalet</w:t>
      </w:r>
      <w:proofErr w:type="spellEnd"/>
      <w:r w:rsidRPr="004035CF">
        <w:t xml:space="preserve">, M. y González, L. (2019). La innovación en los institutos tecnológicos mexicanos: Retos y perspectivas. </w:t>
      </w:r>
      <w:r w:rsidRPr="004035CF">
        <w:rPr>
          <w:i/>
          <w:iCs/>
        </w:rPr>
        <w:t>Revista de Educación Superior, 48</w:t>
      </w:r>
      <w:r w:rsidRPr="004035CF">
        <w:t>(190), 1–22. https://doi.org/10.36857/resu.2019.190.741</w:t>
      </w:r>
    </w:p>
    <w:p w14:paraId="7690A32B" w14:textId="77777777" w:rsidR="00FF5C42" w:rsidRPr="004035CF" w:rsidRDefault="00C07C81" w:rsidP="008B2357">
      <w:pPr>
        <w:ind w:left="567" w:hanging="567"/>
        <w:jc w:val="both"/>
      </w:pPr>
      <w:proofErr w:type="spellStart"/>
      <w:r w:rsidRPr="004035CF">
        <w:t>Design</w:t>
      </w:r>
      <w:proofErr w:type="spellEnd"/>
      <w:r w:rsidRPr="004035CF">
        <w:t xml:space="preserve"> Council. (2018). </w:t>
      </w:r>
      <w:r w:rsidRPr="004035CF">
        <w:rPr>
          <w:i/>
          <w:iCs/>
        </w:rPr>
        <w:t xml:space="preserve">The </w:t>
      </w:r>
      <w:proofErr w:type="spellStart"/>
      <w:r w:rsidRPr="004035CF">
        <w:rPr>
          <w:i/>
          <w:iCs/>
        </w:rPr>
        <w:t>design</w:t>
      </w:r>
      <w:proofErr w:type="spellEnd"/>
      <w:r w:rsidRPr="004035CF">
        <w:rPr>
          <w:i/>
          <w:iCs/>
        </w:rPr>
        <w:t xml:space="preserve"> </w:t>
      </w:r>
      <w:proofErr w:type="spellStart"/>
      <w:r w:rsidRPr="004035CF">
        <w:rPr>
          <w:i/>
          <w:iCs/>
        </w:rPr>
        <w:t>economy</w:t>
      </w:r>
      <w:proofErr w:type="spellEnd"/>
      <w:r w:rsidRPr="004035CF">
        <w:rPr>
          <w:i/>
          <w:iCs/>
        </w:rPr>
        <w:t xml:space="preserve"> 2018: The </w:t>
      </w:r>
      <w:proofErr w:type="spellStart"/>
      <w:r w:rsidRPr="004035CF">
        <w:rPr>
          <w:i/>
          <w:iCs/>
        </w:rPr>
        <w:t>value</w:t>
      </w:r>
      <w:proofErr w:type="spellEnd"/>
      <w:r w:rsidRPr="004035CF">
        <w:rPr>
          <w:i/>
          <w:iCs/>
        </w:rPr>
        <w:t xml:space="preserve"> </w:t>
      </w:r>
      <w:proofErr w:type="spellStart"/>
      <w:r w:rsidRPr="004035CF">
        <w:rPr>
          <w:i/>
          <w:iCs/>
        </w:rPr>
        <w:t>of</w:t>
      </w:r>
      <w:proofErr w:type="spellEnd"/>
      <w:r w:rsidRPr="004035CF">
        <w:rPr>
          <w:i/>
          <w:iCs/>
        </w:rPr>
        <w:t xml:space="preserve"> </w:t>
      </w:r>
      <w:proofErr w:type="spellStart"/>
      <w:r w:rsidRPr="004035CF">
        <w:rPr>
          <w:i/>
          <w:iCs/>
        </w:rPr>
        <w:t>design</w:t>
      </w:r>
      <w:proofErr w:type="spellEnd"/>
      <w:r w:rsidRPr="004035CF">
        <w:rPr>
          <w:i/>
          <w:iCs/>
        </w:rPr>
        <w:t xml:space="preserve"> </w:t>
      </w:r>
      <w:proofErr w:type="spellStart"/>
      <w:r w:rsidRPr="004035CF">
        <w:rPr>
          <w:i/>
          <w:iCs/>
        </w:rPr>
        <w:t>to</w:t>
      </w:r>
      <w:proofErr w:type="spellEnd"/>
      <w:r w:rsidRPr="004035CF">
        <w:rPr>
          <w:i/>
          <w:iCs/>
        </w:rPr>
        <w:t xml:space="preserve"> </w:t>
      </w:r>
      <w:proofErr w:type="spellStart"/>
      <w:r w:rsidRPr="004035CF">
        <w:rPr>
          <w:i/>
          <w:iCs/>
        </w:rPr>
        <w:t>the</w:t>
      </w:r>
      <w:proofErr w:type="spellEnd"/>
      <w:r w:rsidRPr="004035CF">
        <w:rPr>
          <w:i/>
          <w:iCs/>
        </w:rPr>
        <w:t xml:space="preserve"> UK</w:t>
      </w:r>
      <w:r w:rsidRPr="004035CF">
        <w:t xml:space="preserve">. </w:t>
      </w:r>
      <w:proofErr w:type="spellStart"/>
      <w:r w:rsidRPr="004035CF">
        <w:t>Design</w:t>
      </w:r>
      <w:proofErr w:type="spellEnd"/>
      <w:r w:rsidRPr="004035CF">
        <w:t xml:space="preserve"> Council. https://www.designcouncil.org.uk</w:t>
      </w:r>
    </w:p>
    <w:p w14:paraId="7690A32C" w14:textId="77777777" w:rsidR="00FF5C42" w:rsidRPr="004035CF" w:rsidRDefault="00C07C81" w:rsidP="008B2357">
      <w:pPr>
        <w:ind w:left="567" w:hanging="567"/>
        <w:jc w:val="both"/>
      </w:pPr>
      <w:proofErr w:type="spellStart"/>
      <w:r w:rsidRPr="004035CF">
        <w:t>Etzkowitz</w:t>
      </w:r>
      <w:proofErr w:type="spellEnd"/>
      <w:r w:rsidRPr="004035CF">
        <w:t xml:space="preserve">, H. y </w:t>
      </w:r>
      <w:proofErr w:type="spellStart"/>
      <w:r w:rsidRPr="004035CF">
        <w:t>Leydesdorff</w:t>
      </w:r>
      <w:proofErr w:type="spellEnd"/>
      <w:r w:rsidRPr="004035CF">
        <w:t xml:space="preserve">, L. (2000). The </w:t>
      </w:r>
      <w:proofErr w:type="spellStart"/>
      <w:r w:rsidRPr="004035CF">
        <w:t>dynamics</w:t>
      </w:r>
      <w:proofErr w:type="spellEnd"/>
      <w:r w:rsidRPr="004035CF">
        <w:t xml:space="preserve"> </w:t>
      </w:r>
      <w:proofErr w:type="spellStart"/>
      <w:r w:rsidRPr="004035CF">
        <w:t>of</w:t>
      </w:r>
      <w:proofErr w:type="spellEnd"/>
      <w:r w:rsidRPr="004035CF">
        <w:t xml:space="preserve"> </w:t>
      </w:r>
      <w:proofErr w:type="spellStart"/>
      <w:r w:rsidRPr="004035CF">
        <w:t>innovation</w:t>
      </w:r>
      <w:proofErr w:type="spellEnd"/>
      <w:r w:rsidRPr="004035CF">
        <w:t xml:space="preserve">: From </w:t>
      </w:r>
      <w:proofErr w:type="spellStart"/>
      <w:r w:rsidRPr="004035CF">
        <w:t>national</w:t>
      </w:r>
      <w:proofErr w:type="spellEnd"/>
      <w:r w:rsidRPr="004035CF">
        <w:t xml:space="preserve"> </w:t>
      </w:r>
      <w:proofErr w:type="spellStart"/>
      <w:r w:rsidRPr="004035CF">
        <w:t>systems</w:t>
      </w:r>
      <w:proofErr w:type="spellEnd"/>
      <w:r w:rsidRPr="004035CF">
        <w:t xml:space="preserve"> and ‘</w:t>
      </w:r>
      <w:proofErr w:type="spellStart"/>
      <w:r w:rsidRPr="004035CF">
        <w:t>mode</w:t>
      </w:r>
      <w:proofErr w:type="spellEnd"/>
      <w:r w:rsidRPr="004035CF">
        <w:t xml:space="preserve"> 2’ </w:t>
      </w:r>
      <w:proofErr w:type="spellStart"/>
      <w:r w:rsidRPr="004035CF">
        <w:t>to</w:t>
      </w:r>
      <w:proofErr w:type="spellEnd"/>
      <w:r w:rsidRPr="004035CF">
        <w:t xml:space="preserve"> a triple </w:t>
      </w:r>
      <w:proofErr w:type="spellStart"/>
      <w:r w:rsidRPr="004035CF">
        <w:t>helix</w:t>
      </w:r>
      <w:proofErr w:type="spellEnd"/>
      <w:r w:rsidRPr="004035CF">
        <w:t xml:space="preserve"> </w:t>
      </w:r>
      <w:proofErr w:type="spellStart"/>
      <w:r w:rsidRPr="004035CF">
        <w:t>of</w:t>
      </w:r>
      <w:proofErr w:type="spellEnd"/>
      <w:r w:rsidRPr="004035CF">
        <w:t xml:space="preserve"> </w:t>
      </w:r>
      <w:proofErr w:type="spellStart"/>
      <w:r w:rsidRPr="004035CF">
        <w:t>university</w:t>
      </w:r>
      <w:proofErr w:type="spellEnd"/>
      <w:r w:rsidRPr="004035CF">
        <w:t>–</w:t>
      </w:r>
      <w:proofErr w:type="spellStart"/>
      <w:r w:rsidRPr="004035CF">
        <w:t>industry</w:t>
      </w:r>
      <w:proofErr w:type="spellEnd"/>
      <w:r w:rsidRPr="004035CF">
        <w:t>–</w:t>
      </w:r>
      <w:proofErr w:type="spellStart"/>
      <w:r w:rsidRPr="004035CF">
        <w:t>government</w:t>
      </w:r>
      <w:proofErr w:type="spellEnd"/>
      <w:r w:rsidRPr="004035CF">
        <w:t xml:space="preserve"> </w:t>
      </w:r>
      <w:proofErr w:type="spellStart"/>
      <w:r w:rsidRPr="004035CF">
        <w:t>relations</w:t>
      </w:r>
      <w:proofErr w:type="spellEnd"/>
      <w:r w:rsidRPr="004035CF">
        <w:t xml:space="preserve">. </w:t>
      </w:r>
      <w:proofErr w:type="spellStart"/>
      <w:r w:rsidRPr="004035CF">
        <w:rPr>
          <w:i/>
          <w:iCs/>
        </w:rPr>
        <w:t>Research</w:t>
      </w:r>
      <w:proofErr w:type="spellEnd"/>
      <w:r w:rsidRPr="004035CF">
        <w:rPr>
          <w:i/>
          <w:iCs/>
        </w:rPr>
        <w:t xml:space="preserve"> Policy, 29</w:t>
      </w:r>
      <w:r w:rsidRPr="004035CF">
        <w:t>(2), 109–123. https://doi.org/10.1016/S0048-7333(99)00055-4</w:t>
      </w:r>
    </w:p>
    <w:p w14:paraId="7690A32D" w14:textId="77777777" w:rsidR="00FF5C42" w:rsidRPr="004035CF" w:rsidRDefault="00C07C81" w:rsidP="008B2357">
      <w:pPr>
        <w:ind w:left="567" w:hanging="567"/>
        <w:jc w:val="both"/>
      </w:pPr>
      <w:r w:rsidRPr="004035CF">
        <w:t xml:space="preserve">Flores-Mejía, E. y Rodríguez-Torres, A. (2020). Integración del diseño industrial en la formación de ingenieros mexicanos: Un análisis curricular. </w:t>
      </w:r>
      <w:r w:rsidRPr="004035CF">
        <w:rPr>
          <w:i/>
          <w:iCs/>
        </w:rPr>
        <w:t>Innovación Educativa, 20</w:t>
      </w:r>
      <w:r w:rsidRPr="004035CF">
        <w:t>(84), 41–64.</w:t>
      </w:r>
    </w:p>
    <w:p w14:paraId="7690A32E" w14:textId="77777777" w:rsidR="00FF5C42" w:rsidRPr="004035CF" w:rsidRDefault="00C07C81" w:rsidP="008B2357">
      <w:pPr>
        <w:ind w:left="567" w:hanging="567"/>
        <w:jc w:val="both"/>
      </w:pPr>
      <w:r w:rsidRPr="004035CF">
        <w:t xml:space="preserve">Instituto Mexicano de la Propiedad Industrial [IMPI]. (2022). </w:t>
      </w:r>
      <w:r w:rsidRPr="004035CF">
        <w:rPr>
          <w:i/>
          <w:iCs/>
        </w:rPr>
        <w:t>Informe anual de actividades 2022</w:t>
      </w:r>
      <w:r w:rsidRPr="004035CF">
        <w:t>. IMPI. https://www.gob.mx/impi</w:t>
      </w:r>
    </w:p>
    <w:p w14:paraId="7690A32F" w14:textId="77777777" w:rsidR="00FF5C42" w:rsidRPr="004035CF" w:rsidRDefault="00C07C81" w:rsidP="008B2357">
      <w:pPr>
        <w:ind w:left="567" w:hanging="567"/>
        <w:jc w:val="both"/>
      </w:pPr>
      <w:r w:rsidRPr="004035CF">
        <w:t xml:space="preserve">Instituto Mexicano de la Propiedad Industrial [IMPI]. (2023). </w:t>
      </w:r>
      <w:r w:rsidRPr="004035CF">
        <w:rPr>
          <w:i/>
          <w:iCs/>
        </w:rPr>
        <w:t>Estadísticas de propiedad industrial en México 2023</w:t>
      </w:r>
      <w:r w:rsidRPr="004035CF">
        <w:t>. IMPI. https://www.gob.mx/impi/documentos</w:t>
      </w:r>
    </w:p>
    <w:p w14:paraId="7690A330" w14:textId="77777777" w:rsidR="00FF5C42" w:rsidRPr="004035CF" w:rsidRDefault="00C07C81" w:rsidP="008B2357">
      <w:pPr>
        <w:ind w:left="567" w:hanging="567"/>
        <w:jc w:val="both"/>
      </w:pPr>
      <w:r w:rsidRPr="004035CF">
        <w:t xml:space="preserve">Organización para la Cooperación y el Desarrollo Económicos [OCDE]. (2022). </w:t>
      </w:r>
      <w:r w:rsidRPr="004035CF">
        <w:rPr>
          <w:i/>
          <w:iCs/>
        </w:rPr>
        <w:t xml:space="preserve">OECD </w:t>
      </w:r>
      <w:proofErr w:type="spellStart"/>
      <w:r w:rsidRPr="004035CF">
        <w:rPr>
          <w:i/>
          <w:iCs/>
        </w:rPr>
        <w:t>science</w:t>
      </w:r>
      <w:proofErr w:type="spellEnd"/>
      <w:r w:rsidRPr="004035CF">
        <w:rPr>
          <w:i/>
          <w:iCs/>
        </w:rPr>
        <w:t xml:space="preserve">, </w:t>
      </w:r>
      <w:proofErr w:type="spellStart"/>
      <w:r w:rsidRPr="004035CF">
        <w:rPr>
          <w:i/>
          <w:iCs/>
        </w:rPr>
        <w:t>technology</w:t>
      </w:r>
      <w:proofErr w:type="spellEnd"/>
      <w:r w:rsidRPr="004035CF">
        <w:rPr>
          <w:i/>
          <w:iCs/>
        </w:rPr>
        <w:t xml:space="preserve"> and </w:t>
      </w:r>
      <w:proofErr w:type="spellStart"/>
      <w:r w:rsidRPr="004035CF">
        <w:rPr>
          <w:i/>
          <w:iCs/>
        </w:rPr>
        <w:t>innovation</w:t>
      </w:r>
      <w:proofErr w:type="spellEnd"/>
      <w:r w:rsidRPr="004035CF">
        <w:rPr>
          <w:i/>
          <w:iCs/>
        </w:rPr>
        <w:t xml:space="preserve"> </w:t>
      </w:r>
      <w:proofErr w:type="spellStart"/>
      <w:r w:rsidRPr="004035CF">
        <w:rPr>
          <w:i/>
          <w:iCs/>
        </w:rPr>
        <w:t>outlook</w:t>
      </w:r>
      <w:proofErr w:type="spellEnd"/>
      <w:r w:rsidRPr="004035CF">
        <w:rPr>
          <w:i/>
          <w:iCs/>
        </w:rPr>
        <w:t xml:space="preserve"> 2022</w:t>
      </w:r>
      <w:r w:rsidRPr="004035CF">
        <w:t>. OECD Publishing. https://doi.org/10.1787/25186167</w:t>
      </w:r>
    </w:p>
    <w:p w14:paraId="7690A331" w14:textId="77777777" w:rsidR="00FF5C42" w:rsidRPr="004035CF" w:rsidRDefault="00C07C81" w:rsidP="008B2357">
      <w:pPr>
        <w:ind w:left="567" w:hanging="567"/>
        <w:jc w:val="both"/>
      </w:pPr>
      <w:r w:rsidRPr="004035CF">
        <w:t xml:space="preserve">Secretaría de Educación Pública [SEP]. (2023). </w:t>
      </w:r>
      <w:r w:rsidRPr="004035CF">
        <w:rPr>
          <w:i/>
          <w:iCs/>
        </w:rPr>
        <w:t>Sistema de educación superior tecnológica: Estadísticas 2022–2023</w:t>
      </w:r>
      <w:r w:rsidRPr="004035CF">
        <w:t>. SEP. https://www.sep.gob.mx</w:t>
      </w:r>
    </w:p>
    <w:p w14:paraId="7690A332" w14:textId="77777777" w:rsidR="00FF5C42" w:rsidRPr="004035CF" w:rsidRDefault="00C07C81" w:rsidP="008B2357">
      <w:pPr>
        <w:ind w:left="567" w:hanging="567"/>
        <w:jc w:val="both"/>
      </w:pPr>
      <w:r w:rsidRPr="004035CF">
        <w:t xml:space="preserve">Siegel, D. S., Waldman, D. y Link, A. (2003). </w:t>
      </w:r>
      <w:proofErr w:type="spellStart"/>
      <w:r w:rsidRPr="004035CF">
        <w:t>Assessing</w:t>
      </w:r>
      <w:proofErr w:type="spellEnd"/>
      <w:r w:rsidRPr="004035CF">
        <w:t xml:space="preserve"> </w:t>
      </w:r>
      <w:proofErr w:type="spellStart"/>
      <w:r w:rsidRPr="004035CF">
        <w:t>the</w:t>
      </w:r>
      <w:proofErr w:type="spellEnd"/>
      <w:r w:rsidRPr="004035CF">
        <w:t xml:space="preserve"> </w:t>
      </w:r>
      <w:proofErr w:type="spellStart"/>
      <w:r w:rsidRPr="004035CF">
        <w:t>impact</w:t>
      </w:r>
      <w:proofErr w:type="spellEnd"/>
      <w:r w:rsidRPr="004035CF">
        <w:t xml:space="preserve"> </w:t>
      </w:r>
      <w:proofErr w:type="spellStart"/>
      <w:r w:rsidRPr="004035CF">
        <w:t>of</w:t>
      </w:r>
      <w:proofErr w:type="spellEnd"/>
      <w:r w:rsidRPr="004035CF">
        <w:t xml:space="preserve"> </w:t>
      </w:r>
      <w:proofErr w:type="spellStart"/>
      <w:r w:rsidRPr="004035CF">
        <w:t>organizational</w:t>
      </w:r>
      <w:proofErr w:type="spellEnd"/>
      <w:r w:rsidRPr="004035CF">
        <w:t xml:space="preserve"> </w:t>
      </w:r>
      <w:proofErr w:type="spellStart"/>
      <w:r w:rsidRPr="004035CF">
        <w:t>practices</w:t>
      </w:r>
      <w:proofErr w:type="spellEnd"/>
      <w:r w:rsidRPr="004035CF">
        <w:t xml:space="preserve"> </w:t>
      </w:r>
      <w:proofErr w:type="spellStart"/>
      <w:r w:rsidRPr="004035CF">
        <w:t>on</w:t>
      </w:r>
      <w:proofErr w:type="spellEnd"/>
      <w:r w:rsidRPr="004035CF">
        <w:t xml:space="preserve"> </w:t>
      </w:r>
      <w:proofErr w:type="spellStart"/>
      <w:r w:rsidRPr="004035CF">
        <w:t>the</w:t>
      </w:r>
      <w:proofErr w:type="spellEnd"/>
      <w:r w:rsidRPr="004035CF">
        <w:t xml:space="preserve"> relative </w:t>
      </w:r>
      <w:proofErr w:type="spellStart"/>
      <w:r w:rsidRPr="004035CF">
        <w:t>productivity</w:t>
      </w:r>
      <w:proofErr w:type="spellEnd"/>
      <w:r w:rsidRPr="004035CF">
        <w:t xml:space="preserve"> </w:t>
      </w:r>
      <w:proofErr w:type="spellStart"/>
      <w:r w:rsidRPr="004035CF">
        <w:t>of</w:t>
      </w:r>
      <w:proofErr w:type="spellEnd"/>
      <w:r w:rsidRPr="004035CF">
        <w:t xml:space="preserve"> </w:t>
      </w:r>
      <w:proofErr w:type="spellStart"/>
      <w:r w:rsidRPr="004035CF">
        <w:t>university</w:t>
      </w:r>
      <w:proofErr w:type="spellEnd"/>
      <w:r w:rsidRPr="004035CF">
        <w:t xml:space="preserve"> </w:t>
      </w:r>
      <w:proofErr w:type="spellStart"/>
      <w:r w:rsidRPr="004035CF">
        <w:t>technology</w:t>
      </w:r>
      <w:proofErr w:type="spellEnd"/>
      <w:r w:rsidRPr="004035CF">
        <w:t xml:space="preserve"> transfer </w:t>
      </w:r>
      <w:proofErr w:type="spellStart"/>
      <w:r w:rsidRPr="004035CF">
        <w:t>offices</w:t>
      </w:r>
      <w:proofErr w:type="spellEnd"/>
      <w:r w:rsidRPr="004035CF">
        <w:t xml:space="preserve">: </w:t>
      </w:r>
      <w:proofErr w:type="spellStart"/>
      <w:r w:rsidRPr="004035CF">
        <w:t>An</w:t>
      </w:r>
      <w:proofErr w:type="spellEnd"/>
      <w:r w:rsidRPr="004035CF">
        <w:t xml:space="preserve"> </w:t>
      </w:r>
      <w:proofErr w:type="spellStart"/>
      <w:r w:rsidRPr="004035CF">
        <w:t>exploratory</w:t>
      </w:r>
      <w:proofErr w:type="spellEnd"/>
      <w:r w:rsidRPr="004035CF">
        <w:t xml:space="preserve"> </w:t>
      </w:r>
      <w:proofErr w:type="spellStart"/>
      <w:r w:rsidRPr="004035CF">
        <w:t>study</w:t>
      </w:r>
      <w:proofErr w:type="spellEnd"/>
      <w:r w:rsidRPr="004035CF">
        <w:t xml:space="preserve">. </w:t>
      </w:r>
      <w:proofErr w:type="spellStart"/>
      <w:r w:rsidRPr="004035CF">
        <w:rPr>
          <w:i/>
          <w:iCs/>
        </w:rPr>
        <w:t>Research</w:t>
      </w:r>
      <w:proofErr w:type="spellEnd"/>
      <w:r w:rsidRPr="004035CF">
        <w:rPr>
          <w:i/>
          <w:iCs/>
        </w:rPr>
        <w:t xml:space="preserve"> Policy, 32</w:t>
      </w:r>
      <w:r w:rsidRPr="004035CF">
        <w:t>(1), 27–48. https://doi.org/10.1016/S0048-7333(01)00196-2</w:t>
      </w:r>
    </w:p>
    <w:p w14:paraId="7690A334" w14:textId="2E4ABADF" w:rsidR="00FF5C42" w:rsidRPr="004035CF" w:rsidRDefault="00C07C81" w:rsidP="008B2357">
      <w:pPr>
        <w:ind w:left="567" w:hanging="567"/>
        <w:jc w:val="both"/>
      </w:pPr>
      <w:r w:rsidRPr="004035CF">
        <w:t xml:space="preserve">World </w:t>
      </w:r>
      <w:proofErr w:type="spellStart"/>
      <w:r w:rsidRPr="004035CF">
        <w:t>Design</w:t>
      </w:r>
      <w:proofErr w:type="spellEnd"/>
      <w:r w:rsidRPr="004035CF">
        <w:t xml:space="preserve"> </w:t>
      </w:r>
      <w:proofErr w:type="spellStart"/>
      <w:r w:rsidRPr="004035CF">
        <w:t>Organization</w:t>
      </w:r>
      <w:proofErr w:type="spellEnd"/>
      <w:r w:rsidRPr="004035CF">
        <w:t xml:space="preserve"> [WDO]. (2015). </w:t>
      </w:r>
      <w:proofErr w:type="spellStart"/>
      <w:r w:rsidRPr="004035CF">
        <w:rPr>
          <w:i/>
          <w:iCs/>
        </w:rPr>
        <w:t>Definition</w:t>
      </w:r>
      <w:proofErr w:type="spellEnd"/>
      <w:r w:rsidRPr="004035CF">
        <w:rPr>
          <w:i/>
          <w:iCs/>
        </w:rPr>
        <w:t xml:space="preserve"> </w:t>
      </w:r>
      <w:proofErr w:type="spellStart"/>
      <w:r w:rsidRPr="004035CF">
        <w:rPr>
          <w:i/>
          <w:iCs/>
        </w:rPr>
        <w:t>of</w:t>
      </w:r>
      <w:proofErr w:type="spellEnd"/>
      <w:r w:rsidRPr="004035CF">
        <w:rPr>
          <w:i/>
          <w:iCs/>
        </w:rPr>
        <w:t xml:space="preserve"> industrial </w:t>
      </w:r>
      <w:proofErr w:type="spellStart"/>
      <w:r w:rsidRPr="004035CF">
        <w:rPr>
          <w:i/>
          <w:iCs/>
        </w:rPr>
        <w:t>design</w:t>
      </w:r>
      <w:proofErr w:type="spellEnd"/>
      <w:r w:rsidRPr="004035CF">
        <w:t>. WDO. https://wdo.org/about/definition</w:t>
      </w:r>
      <w:r w:rsidRPr="004035CF">
        <w:rPr>
          <w:noProof/>
        </w:rPr>
        <mc:AlternateContent>
          <mc:Choice Requires="wpg">
            <w:drawing>
              <wp:inline distT="0" distB="0" distL="0" distR="0" wp14:anchorId="7690A487" wp14:editId="7690A488">
                <wp:extent cx="0" cy="19050"/>
                <wp:effectExtent l="0" t="0" r="0" b="0"/>
                <wp:docPr id="10" name="Rectángulo 10"/>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FFFFFF"/>
                        </a:solidFill>
                        <a:ln>
                          <a:solidFill>
                            <a:srgbClr val="000000"/>
                          </a:solidFill>
                        </a:ln>
                      </wps:spPr>
                      <wps:bodyPr rot="0">
                        <a:prstTxWarp prst="textNoShape">
                          <a:avLst/>
                        </a:prstTxWarp>
                        <a:noAutofit/>
                      </wps:bodyPr>
                    </wps:wsp>
                  </a:graphicData>
                </a:graphic>
              </wp:inline>
            </w:drawing>
          </mc:Choice>
          <mc:Fallback xmlns:a="http://schemas.openxmlformats.org/drawingml/2006/main">
            <w:pict>
              <v:shape id="shape 9" o:spid="_x0000_s9" o:spt="1" type="#_x0000_t1" style="width:0.00pt;height:1.50pt;mso-wrap-distance-left:0.00pt;mso-wrap-distance-top:0.00pt;mso-wrap-distance-right:0.00pt;mso-wrap-distance-bottom:0.00pt;visibility:visible;" fillcolor="#FFFFFF" strokecolor="#000000"/>
            </w:pict>
          </mc:Fallback>
        </mc:AlternateContent>
      </w:r>
      <w:bookmarkEnd w:id="18"/>
    </w:p>
    <w:bookmarkEnd w:id="0"/>
    <w:p w14:paraId="12B2F61A" w14:textId="77777777" w:rsidR="008B2357" w:rsidRDefault="008B2357" w:rsidP="008B2357">
      <w:pPr>
        <w:pStyle w:val="Ttulo1"/>
        <w:jc w:val="center"/>
        <w:rPr>
          <w:color w:val="auto"/>
          <w:sz w:val="24"/>
          <w:szCs w:val="24"/>
        </w:rPr>
      </w:pPr>
    </w:p>
    <w:p w14:paraId="3F80E68D" w14:textId="77777777" w:rsidR="008B2357" w:rsidRDefault="008B2357" w:rsidP="008B2357">
      <w:pPr>
        <w:pStyle w:val="Ttulo1"/>
        <w:jc w:val="center"/>
        <w:rPr>
          <w:color w:val="auto"/>
          <w:sz w:val="24"/>
          <w:szCs w:val="24"/>
        </w:rPr>
      </w:pPr>
    </w:p>
    <w:p w14:paraId="2360E8D4" w14:textId="77777777" w:rsidR="008B2357" w:rsidRDefault="008B2357" w:rsidP="008B2357">
      <w:pPr>
        <w:pStyle w:val="Ttulo1"/>
        <w:jc w:val="center"/>
        <w:rPr>
          <w:color w:val="auto"/>
          <w:sz w:val="24"/>
          <w:szCs w:val="24"/>
        </w:rPr>
      </w:pPr>
    </w:p>
    <w:p w14:paraId="024107BD" w14:textId="77777777" w:rsidR="008B2357" w:rsidRDefault="008B2357" w:rsidP="008B2357">
      <w:pPr>
        <w:pStyle w:val="Ttulo1"/>
        <w:jc w:val="center"/>
        <w:rPr>
          <w:color w:val="auto"/>
          <w:sz w:val="24"/>
          <w:szCs w:val="24"/>
        </w:rPr>
      </w:pPr>
    </w:p>
    <w:p w14:paraId="7690A339" w14:textId="77777777" w:rsidR="00FF5C42" w:rsidRPr="004035CF" w:rsidRDefault="00FF5C42" w:rsidP="008B2357">
      <w:pPr>
        <w:pStyle w:val="Ttulo1"/>
        <w:jc w:val="both"/>
        <w:rPr>
          <w:color w:val="0070C0"/>
          <w:sz w:val="24"/>
          <w:szCs w:val="24"/>
        </w:rPr>
        <w:sectPr w:rsidR="00FF5C42" w:rsidRPr="004035CF" w:rsidSect="00466204">
          <w:footerReference w:type="default" r:id="rId12"/>
          <w:pgSz w:w="11906" w:h="16838"/>
          <w:pgMar w:top="993" w:right="849" w:bottom="1800" w:left="1276" w:header="567" w:footer="397" w:gutter="0"/>
          <w:cols w:space="1701"/>
          <w:docGrid w:linePitch="326"/>
        </w:sectPr>
      </w:pPr>
    </w:p>
    <w:p w14:paraId="7690A33A" w14:textId="77777777" w:rsidR="00FF5C42" w:rsidRPr="004035CF" w:rsidRDefault="00C07C81" w:rsidP="008B2357">
      <w:pPr>
        <w:spacing w:before="120" w:after="200"/>
        <w:jc w:val="both"/>
      </w:pPr>
      <w:r w:rsidRPr="004035CF">
        <w:rPr>
          <w:rFonts w:eastAsia="Arial"/>
          <w:b/>
          <w:bCs/>
          <w:color w:val="2E74B5"/>
        </w:rPr>
        <w:lastRenderedPageBreak/>
        <w:t>Anexo 1: TABLA COMPARATIVA DE PLANES DE ESTUDIO</w:t>
      </w:r>
    </w:p>
    <w:p w14:paraId="7690A33B" w14:textId="77777777" w:rsidR="00FF5C42" w:rsidRPr="004035CF" w:rsidRDefault="00C07C81" w:rsidP="008B2357">
      <w:pPr>
        <w:spacing w:after="140"/>
        <w:jc w:val="both"/>
      </w:pPr>
      <w:r w:rsidRPr="004035CF">
        <w:rPr>
          <w:rFonts w:eastAsia="Arial"/>
          <w:color w:val="555555"/>
        </w:rPr>
        <w:t>Diseño Industrial en Instituciones de Educación Superior en México</w:t>
      </w:r>
    </w:p>
    <w:p w14:paraId="7690A33C" w14:textId="77777777" w:rsidR="00FF5C42" w:rsidRPr="004035CF" w:rsidRDefault="00C07C81" w:rsidP="008B2357">
      <w:pPr>
        <w:spacing w:after="100"/>
        <w:jc w:val="both"/>
      </w:pPr>
      <w:r w:rsidRPr="004035CF">
        <w:rPr>
          <w:rFonts w:eastAsia="Arial"/>
          <w:i/>
          <w:iCs/>
          <w:color w:val="777777"/>
        </w:rPr>
        <w:t>Enfoque: Asignaturas de Diseño de Productos y Propiedad Intelectual</w:t>
      </w:r>
    </w:p>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1800"/>
        <w:gridCol w:w="2800"/>
        <w:gridCol w:w="3700"/>
        <w:gridCol w:w="3900"/>
      </w:tblGrid>
      <w:tr w:rsidR="00FF5C42" w:rsidRPr="004035CF" w14:paraId="7690A342" w14:textId="77777777">
        <w:tc>
          <w:tcPr>
            <w:tcW w:w="2200" w:type="dxa"/>
            <w:tcBorders>
              <w:top w:val="single" w:sz="1" w:space="0" w:color="999999"/>
              <w:left w:val="single" w:sz="1" w:space="0" w:color="999999"/>
              <w:bottom w:val="single" w:sz="1" w:space="0" w:color="999999"/>
              <w:right w:val="single" w:sz="1" w:space="0" w:color="999999"/>
            </w:tcBorders>
            <w:shd w:val="clear" w:color="FFFFFF" w:fill="2E74B5"/>
            <w:tcMar>
              <w:top w:w="90" w:type="dxa"/>
              <w:left w:w="110" w:type="dxa"/>
              <w:bottom w:w="90" w:type="dxa"/>
              <w:right w:w="110" w:type="dxa"/>
            </w:tcMar>
          </w:tcPr>
          <w:p w14:paraId="7690A33D" w14:textId="77777777" w:rsidR="00FF5C42" w:rsidRPr="004035CF" w:rsidRDefault="00C07C81" w:rsidP="008B2357">
            <w:pPr>
              <w:jc w:val="both"/>
            </w:pPr>
            <w:r w:rsidRPr="004035CF">
              <w:rPr>
                <w:rFonts w:eastAsia="Arial"/>
                <w:b/>
                <w:bCs/>
                <w:color w:val="FFFFFF"/>
              </w:rPr>
              <w:t>Institución</w:t>
            </w:r>
          </w:p>
        </w:tc>
        <w:tc>
          <w:tcPr>
            <w:tcW w:w="1800" w:type="dxa"/>
            <w:tcBorders>
              <w:top w:val="single" w:sz="1" w:space="0" w:color="999999"/>
              <w:left w:val="single" w:sz="1" w:space="0" w:color="999999"/>
              <w:bottom w:val="single" w:sz="1" w:space="0" w:color="999999"/>
              <w:right w:val="single" w:sz="1" w:space="0" w:color="999999"/>
            </w:tcBorders>
            <w:shd w:val="clear" w:color="FFFFFF" w:fill="2E74B5"/>
            <w:tcMar>
              <w:top w:w="90" w:type="dxa"/>
              <w:left w:w="110" w:type="dxa"/>
              <w:bottom w:w="90" w:type="dxa"/>
              <w:right w:w="110" w:type="dxa"/>
            </w:tcMar>
          </w:tcPr>
          <w:p w14:paraId="7690A33E" w14:textId="77777777" w:rsidR="00FF5C42" w:rsidRPr="004035CF" w:rsidRDefault="00C07C81" w:rsidP="008B2357">
            <w:pPr>
              <w:jc w:val="both"/>
            </w:pPr>
            <w:r w:rsidRPr="004035CF">
              <w:rPr>
                <w:rFonts w:eastAsia="Arial"/>
                <w:b/>
                <w:bCs/>
                <w:color w:val="FFFFFF"/>
              </w:rPr>
              <w:t>Duración</w:t>
            </w:r>
          </w:p>
        </w:tc>
        <w:tc>
          <w:tcPr>
            <w:tcW w:w="2800" w:type="dxa"/>
            <w:tcBorders>
              <w:top w:val="single" w:sz="1" w:space="0" w:color="999999"/>
              <w:left w:val="single" w:sz="1" w:space="0" w:color="999999"/>
              <w:bottom w:val="single" w:sz="1" w:space="0" w:color="999999"/>
              <w:right w:val="single" w:sz="1" w:space="0" w:color="999999"/>
            </w:tcBorders>
            <w:shd w:val="clear" w:color="FFFFFF" w:fill="2E74B5"/>
            <w:tcMar>
              <w:top w:w="90" w:type="dxa"/>
              <w:left w:w="110" w:type="dxa"/>
              <w:bottom w:w="90" w:type="dxa"/>
              <w:right w:w="110" w:type="dxa"/>
            </w:tcMar>
          </w:tcPr>
          <w:p w14:paraId="7690A33F" w14:textId="77777777" w:rsidR="00FF5C42" w:rsidRPr="004035CF" w:rsidRDefault="00C07C81" w:rsidP="008B2357">
            <w:pPr>
              <w:jc w:val="both"/>
            </w:pPr>
            <w:r w:rsidRPr="004035CF">
              <w:rPr>
                <w:rFonts w:eastAsia="Arial"/>
                <w:b/>
                <w:bCs/>
                <w:color w:val="FFFFFF"/>
              </w:rPr>
              <w:t>Enfoque del Programa</w:t>
            </w:r>
          </w:p>
        </w:tc>
        <w:tc>
          <w:tcPr>
            <w:tcW w:w="3700" w:type="dxa"/>
            <w:tcBorders>
              <w:top w:val="single" w:sz="1" w:space="0" w:color="999999"/>
              <w:left w:val="single" w:sz="1" w:space="0" w:color="999999"/>
              <w:bottom w:val="single" w:sz="1" w:space="0" w:color="999999"/>
              <w:right w:val="single" w:sz="1" w:space="0" w:color="999999"/>
            </w:tcBorders>
            <w:shd w:val="clear" w:color="FFFFFF" w:fill="70AD47"/>
            <w:tcMar>
              <w:top w:w="90" w:type="dxa"/>
              <w:left w:w="110" w:type="dxa"/>
              <w:bottom w:w="90" w:type="dxa"/>
              <w:right w:w="110" w:type="dxa"/>
            </w:tcMar>
          </w:tcPr>
          <w:p w14:paraId="7690A340" w14:textId="77777777" w:rsidR="00FF5C42" w:rsidRPr="004035CF" w:rsidRDefault="00C07C81" w:rsidP="008B2357">
            <w:pPr>
              <w:jc w:val="both"/>
            </w:pPr>
            <w:r w:rsidRPr="004035CF">
              <w:rPr>
                <w:rFonts w:eastAsia="Arial"/>
                <w:b/>
                <w:bCs/>
                <w:color w:val="FFFFFF"/>
              </w:rPr>
              <w:t>Asignaturas de Diseño de Productos (con semestre)</w:t>
            </w:r>
          </w:p>
        </w:tc>
        <w:tc>
          <w:tcPr>
            <w:tcW w:w="3900" w:type="dxa"/>
            <w:tcBorders>
              <w:top w:val="single" w:sz="1" w:space="0" w:color="999999"/>
              <w:left w:val="single" w:sz="1" w:space="0" w:color="999999"/>
              <w:bottom w:val="single" w:sz="1" w:space="0" w:color="999999"/>
              <w:right w:val="single" w:sz="1" w:space="0" w:color="999999"/>
            </w:tcBorders>
            <w:shd w:val="clear" w:color="FFFFFF" w:fill="ED7D31"/>
            <w:tcMar>
              <w:top w:w="90" w:type="dxa"/>
              <w:left w:w="110" w:type="dxa"/>
              <w:bottom w:w="90" w:type="dxa"/>
              <w:right w:w="110" w:type="dxa"/>
            </w:tcMar>
          </w:tcPr>
          <w:p w14:paraId="7690A341" w14:textId="77777777" w:rsidR="00FF5C42" w:rsidRPr="004035CF" w:rsidRDefault="00C07C81" w:rsidP="008B2357">
            <w:pPr>
              <w:jc w:val="both"/>
            </w:pPr>
            <w:r w:rsidRPr="004035CF">
              <w:rPr>
                <w:rFonts w:eastAsia="Arial"/>
                <w:b/>
                <w:bCs/>
                <w:color w:val="FFFFFF"/>
              </w:rPr>
              <w:t>Asignaturas de Propiedad Intelectual (con semestre)</w:t>
            </w:r>
          </w:p>
        </w:tc>
      </w:tr>
      <w:tr w:rsidR="00FF5C42" w:rsidRPr="004035CF" w14:paraId="7690A34F" w14:textId="77777777">
        <w:tc>
          <w:tcPr>
            <w:tcW w:w="22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43" w14:textId="77777777" w:rsidR="00FF5C42" w:rsidRPr="004035CF" w:rsidRDefault="00C07C81" w:rsidP="008B2357">
            <w:pPr>
              <w:jc w:val="both"/>
            </w:pPr>
            <w:r w:rsidRPr="004035CF">
              <w:rPr>
                <w:rFonts w:eastAsia="Arial"/>
                <w:b/>
                <w:bCs/>
                <w:color w:val="2E74B5"/>
              </w:rPr>
              <w:t>UNAM</w:t>
            </w:r>
          </w:p>
          <w:p w14:paraId="7690A344" w14:textId="77777777" w:rsidR="00FF5C42" w:rsidRPr="004035CF" w:rsidRDefault="00C07C81" w:rsidP="008B2357">
            <w:pPr>
              <w:spacing w:before="30"/>
              <w:jc w:val="both"/>
            </w:pPr>
            <w:r w:rsidRPr="004035CF">
              <w:rPr>
                <w:rFonts w:eastAsia="Arial"/>
                <w:color w:val="555555"/>
              </w:rPr>
              <w:t>Centro de Investigaciones en Diseño Industrial (CIDI)</w:t>
            </w:r>
          </w:p>
          <w:p w14:paraId="7690A345" w14:textId="77777777" w:rsidR="00FF5C42" w:rsidRPr="004035CF" w:rsidRDefault="00C07C81" w:rsidP="008B2357">
            <w:pPr>
              <w:spacing w:before="20"/>
              <w:jc w:val="both"/>
            </w:pPr>
            <w:r w:rsidRPr="004035CF">
              <w:rPr>
                <w:rFonts w:eastAsia="Arial"/>
                <w:i/>
                <w:iCs/>
                <w:color w:val="777777"/>
              </w:rPr>
              <w:t>Ciudad de México</w:t>
            </w:r>
          </w:p>
        </w:tc>
        <w:tc>
          <w:tcPr>
            <w:tcW w:w="18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46" w14:textId="77777777" w:rsidR="00FF5C42" w:rsidRPr="004035CF" w:rsidRDefault="00C07C81" w:rsidP="008B2357">
            <w:pPr>
              <w:jc w:val="both"/>
            </w:pPr>
            <w:r w:rsidRPr="004035CF">
              <w:rPr>
                <w:rFonts w:eastAsia="Arial"/>
              </w:rPr>
              <w:t>10 semestres</w:t>
            </w:r>
          </w:p>
        </w:tc>
        <w:tc>
          <w:tcPr>
            <w:tcW w:w="28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47" w14:textId="77777777" w:rsidR="00FF5C42" w:rsidRPr="004035CF" w:rsidRDefault="00C07C81" w:rsidP="008B2357">
            <w:pPr>
              <w:jc w:val="both"/>
            </w:pPr>
            <w:r w:rsidRPr="004035CF">
              <w:rPr>
                <w:rFonts w:eastAsia="Arial"/>
              </w:rPr>
              <w:t>5 grupos de saberes: Diseño, Comunicación, Función y Fabricación, Gestión y Emprendimiento, De lo Humano y lo Social</w:t>
            </w:r>
          </w:p>
        </w:tc>
        <w:tc>
          <w:tcPr>
            <w:tcW w:w="3700" w:type="dxa"/>
            <w:tcBorders>
              <w:top w:val="single" w:sz="1" w:space="0" w:color="999999"/>
              <w:left w:val="single" w:sz="1" w:space="0" w:color="999999"/>
              <w:bottom w:val="single" w:sz="1" w:space="0" w:color="999999"/>
              <w:right w:val="single" w:sz="1" w:space="0" w:color="999999"/>
            </w:tcBorders>
            <w:shd w:val="clear" w:color="FFFFFF" w:fill="E2EFDA"/>
            <w:tcMar>
              <w:top w:w="90" w:type="dxa"/>
              <w:left w:w="110" w:type="dxa"/>
              <w:bottom w:w="90" w:type="dxa"/>
              <w:right w:w="110" w:type="dxa"/>
            </w:tcMar>
          </w:tcPr>
          <w:p w14:paraId="7690A348" w14:textId="77777777" w:rsidR="00FF5C42" w:rsidRPr="004035CF" w:rsidRDefault="00C07C81" w:rsidP="008B2357">
            <w:pPr>
              <w:jc w:val="both"/>
            </w:pPr>
            <w:r w:rsidRPr="004035CF">
              <w:rPr>
                <w:rFonts w:eastAsia="Arial"/>
              </w:rPr>
              <w:t xml:space="preserve">• Diseño (1er-2do </w:t>
            </w:r>
            <w:proofErr w:type="spellStart"/>
            <w:r w:rsidRPr="004035CF">
              <w:rPr>
                <w:rFonts w:eastAsia="Arial"/>
              </w:rPr>
              <w:t>sem</w:t>
            </w:r>
            <w:proofErr w:type="spellEnd"/>
            <w:r w:rsidRPr="004035CF">
              <w:rPr>
                <w:rFonts w:eastAsia="Arial"/>
              </w:rPr>
              <w:t>.)</w:t>
            </w:r>
          </w:p>
          <w:p w14:paraId="7690A349" w14:textId="77777777" w:rsidR="00FF5C42" w:rsidRPr="004035CF" w:rsidRDefault="00C07C81" w:rsidP="008B2357">
            <w:pPr>
              <w:spacing w:before="20"/>
              <w:jc w:val="both"/>
            </w:pPr>
            <w:r w:rsidRPr="004035CF">
              <w:rPr>
                <w:rFonts w:eastAsia="Arial"/>
              </w:rPr>
              <w:t xml:space="preserve">• Proyecto (3er-10mo </w:t>
            </w:r>
            <w:proofErr w:type="spellStart"/>
            <w:r w:rsidRPr="004035CF">
              <w:rPr>
                <w:rFonts w:eastAsia="Arial"/>
              </w:rPr>
              <w:t>sem</w:t>
            </w:r>
            <w:proofErr w:type="spellEnd"/>
            <w:r w:rsidRPr="004035CF">
              <w:rPr>
                <w:rFonts w:eastAsia="Arial"/>
              </w:rPr>
              <w:t>., talleres semestrales)</w:t>
            </w:r>
          </w:p>
          <w:p w14:paraId="7690A34A" w14:textId="77777777" w:rsidR="00FF5C42" w:rsidRPr="004035CF" w:rsidRDefault="00C07C81" w:rsidP="008B2357">
            <w:pPr>
              <w:spacing w:before="20"/>
              <w:jc w:val="both"/>
            </w:pPr>
            <w:r w:rsidRPr="004035CF">
              <w:rPr>
                <w:rFonts w:eastAsia="Arial"/>
              </w:rPr>
              <w:t xml:space="preserve">• Modelos y Prototipos (5to </w:t>
            </w:r>
            <w:proofErr w:type="spellStart"/>
            <w:r w:rsidRPr="004035CF">
              <w:rPr>
                <w:rFonts w:eastAsia="Arial"/>
              </w:rPr>
              <w:t>sem</w:t>
            </w:r>
            <w:proofErr w:type="spellEnd"/>
            <w:r w:rsidRPr="004035CF">
              <w:rPr>
                <w:rFonts w:eastAsia="Arial"/>
              </w:rPr>
              <w:t>.)</w:t>
            </w:r>
          </w:p>
          <w:p w14:paraId="7690A34B" w14:textId="77777777" w:rsidR="00FF5C42" w:rsidRPr="004035CF" w:rsidRDefault="00C07C81" w:rsidP="008B2357">
            <w:pPr>
              <w:spacing w:before="20"/>
              <w:jc w:val="both"/>
            </w:pPr>
            <w:r w:rsidRPr="004035CF">
              <w:rPr>
                <w:rFonts w:eastAsia="Arial"/>
              </w:rPr>
              <w:t xml:space="preserve">• Diseño Temático (9no </w:t>
            </w:r>
            <w:proofErr w:type="spellStart"/>
            <w:r w:rsidRPr="004035CF">
              <w:rPr>
                <w:rFonts w:eastAsia="Arial"/>
              </w:rPr>
              <w:t>sem</w:t>
            </w:r>
            <w:proofErr w:type="spellEnd"/>
            <w:r w:rsidRPr="004035CF">
              <w:rPr>
                <w:rFonts w:eastAsia="Arial"/>
              </w:rPr>
              <w:t>.)</w:t>
            </w:r>
          </w:p>
          <w:p w14:paraId="7690A34C" w14:textId="77777777" w:rsidR="00FF5C42" w:rsidRPr="004035CF" w:rsidRDefault="00C07C81" w:rsidP="008B2357">
            <w:pPr>
              <w:spacing w:before="20"/>
              <w:jc w:val="both"/>
            </w:pPr>
            <w:r w:rsidRPr="004035CF">
              <w:rPr>
                <w:rFonts w:eastAsia="Arial"/>
              </w:rPr>
              <w:t xml:space="preserve">• Seminario de Titulación (10mo </w:t>
            </w:r>
            <w:proofErr w:type="spellStart"/>
            <w:r w:rsidRPr="004035CF">
              <w:rPr>
                <w:rFonts w:eastAsia="Arial"/>
              </w:rPr>
              <w:t>sem</w:t>
            </w:r>
            <w:proofErr w:type="spellEnd"/>
            <w:r w:rsidRPr="004035CF">
              <w:rPr>
                <w:rFonts w:eastAsia="Arial"/>
              </w:rPr>
              <w:t>.)</w:t>
            </w:r>
          </w:p>
        </w:tc>
        <w:tc>
          <w:tcPr>
            <w:tcW w:w="3900" w:type="dxa"/>
            <w:tcBorders>
              <w:top w:val="single" w:sz="1" w:space="0" w:color="999999"/>
              <w:left w:val="single" w:sz="1" w:space="0" w:color="999999"/>
              <w:bottom w:val="single" w:sz="1" w:space="0" w:color="999999"/>
              <w:right w:val="single" w:sz="1" w:space="0" w:color="999999"/>
            </w:tcBorders>
            <w:shd w:val="clear" w:color="FFFFFF" w:fill="FCE4D6"/>
            <w:tcMar>
              <w:top w:w="90" w:type="dxa"/>
              <w:left w:w="110" w:type="dxa"/>
              <w:bottom w:w="90" w:type="dxa"/>
              <w:right w:w="110" w:type="dxa"/>
            </w:tcMar>
          </w:tcPr>
          <w:p w14:paraId="7690A34D" w14:textId="77777777" w:rsidR="00FF5C42" w:rsidRPr="004035CF" w:rsidRDefault="00C07C81" w:rsidP="008B2357">
            <w:pPr>
              <w:jc w:val="both"/>
            </w:pPr>
            <w:r w:rsidRPr="004035CF">
              <w:rPr>
                <w:rFonts w:eastAsia="Arial"/>
                <w:i/>
                <w:iCs/>
                <w:color w:val="666666"/>
              </w:rPr>
              <w:t>No identificada como asignatura específica en el plan de estudios</w:t>
            </w:r>
          </w:p>
          <w:p w14:paraId="7690A34E" w14:textId="77777777" w:rsidR="00FF5C42" w:rsidRPr="004035CF" w:rsidRDefault="00C07C81" w:rsidP="008B2357">
            <w:pPr>
              <w:spacing w:before="30"/>
              <w:jc w:val="both"/>
            </w:pPr>
            <w:r w:rsidRPr="004035CF">
              <w:rPr>
                <w:rFonts w:eastAsia="Arial"/>
                <w:i/>
                <w:iCs/>
                <w:color w:val="888888"/>
              </w:rPr>
              <w:t>Nota: La temática puede estar integrada en asignaturas de Gestión y Emprendimiento o como contenido transversal</w:t>
            </w:r>
          </w:p>
        </w:tc>
      </w:tr>
      <w:tr w:rsidR="00FF5C42" w:rsidRPr="004035CF" w14:paraId="7690A35B" w14:textId="77777777">
        <w:tc>
          <w:tcPr>
            <w:tcW w:w="2200" w:type="dxa"/>
            <w:tcBorders>
              <w:top w:val="single" w:sz="1" w:space="0" w:color="999999"/>
              <w:left w:val="single" w:sz="1" w:space="0" w:color="999999"/>
              <w:bottom w:val="single" w:sz="1" w:space="0" w:color="999999"/>
              <w:right w:val="single" w:sz="1" w:space="0" w:color="999999"/>
            </w:tcBorders>
            <w:shd w:val="clear" w:color="FFFFFF" w:fill="FFFFFF"/>
            <w:tcMar>
              <w:top w:w="90" w:type="dxa"/>
              <w:left w:w="110" w:type="dxa"/>
              <w:bottom w:w="90" w:type="dxa"/>
              <w:right w:w="110" w:type="dxa"/>
            </w:tcMar>
          </w:tcPr>
          <w:p w14:paraId="7690A350" w14:textId="77777777" w:rsidR="00FF5C42" w:rsidRPr="004035CF" w:rsidRDefault="00C07C81" w:rsidP="008B2357">
            <w:pPr>
              <w:jc w:val="both"/>
            </w:pPr>
            <w:r w:rsidRPr="004035CF">
              <w:rPr>
                <w:rFonts w:eastAsia="Arial"/>
                <w:b/>
                <w:bCs/>
                <w:color w:val="2E74B5"/>
              </w:rPr>
              <w:t>Tecnológico de Monterrey (ITESM)</w:t>
            </w:r>
          </w:p>
          <w:p w14:paraId="7690A351" w14:textId="77777777" w:rsidR="00FF5C42" w:rsidRPr="004035CF" w:rsidRDefault="00C07C81" w:rsidP="008B2357">
            <w:pPr>
              <w:spacing w:before="30"/>
              <w:jc w:val="both"/>
            </w:pPr>
            <w:r w:rsidRPr="004035CF">
              <w:rPr>
                <w:rFonts w:eastAsia="Arial"/>
                <w:color w:val="555555"/>
              </w:rPr>
              <w:t>Campus Monterrey, CDMX, Estado de México</w:t>
            </w:r>
          </w:p>
        </w:tc>
        <w:tc>
          <w:tcPr>
            <w:tcW w:w="1800" w:type="dxa"/>
            <w:tcBorders>
              <w:top w:val="single" w:sz="1" w:space="0" w:color="999999"/>
              <w:left w:val="single" w:sz="1" w:space="0" w:color="999999"/>
              <w:bottom w:val="single" w:sz="1" w:space="0" w:color="999999"/>
              <w:right w:val="single" w:sz="1" w:space="0" w:color="999999"/>
            </w:tcBorders>
            <w:shd w:val="clear" w:color="FFFFFF" w:fill="FFFFFF"/>
            <w:tcMar>
              <w:top w:w="90" w:type="dxa"/>
              <w:left w:w="110" w:type="dxa"/>
              <w:bottom w:w="90" w:type="dxa"/>
              <w:right w:w="110" w:type="dxa"/>
            </w:tcMar>
          </w:tcPr>
          <w:p w14:paraId="7690A352" w14:textId="77777777" w:rsidR="00FF5C42" w:rsidRPr="004035CF" w:rsidRDefault="00C07C81" w:rsidP="008B2357">
            <w:pPr>
              <w:jc w:val="both"/>
            </w:pPr>
            <w:r w:rsidRPr="004035CF">
              <w:rPr>
                <w:rFonts w:eastAsia="Arial"/>
              </w:rPr>
              <w:t>9 semestres</w:t>
            </w:r>
          </w:p>
        </w:tc>
        <w:tc>
          <w:tcPr>
            <w:tcW w:w="2800" w:type="dxa"/>
            <w:tcBorders>
              <w:top w:val="single" w:sz="1" w:space="0" w:color="999999"/>
              <w:left w:val="single" w:sz="1" w:space="0" w:color="999999"/>
              <w:bottom w:val="single" w:sz="1" w:space="0" w:color="999999"/>
              <w:right w:val="single" w:sz="1" w:space="0" w:color="999999"/>
            </w:tcBorders>
            <w:shd w:val="clear" w:color="FFFFFF" w:fill="FFFFFF"/>
            <w:tcMar>
              <w:top w:w="90" w:type="dxa"/>
              <w:left w:w="110" w:type="dxa"/>
              <w:bottom w:w="90" w:type="dxa"/>
              <w:right w:w="110" w:type="dxa"/>
            </w:tcMar>
          </w:tcPr>
          <w:p w14:paraId="7690A353" w14:textId="77777777" w:rsidR="00FF5C42" w:rsidRPr="004035CF" w:rsidRDefault="00C07C81" w:rsidP="008B2357">
            <w:pPr>
              <w:jc w:val="both"/>
            </w:pPr>
            <w:r w:rsidRPr="004035CF">
              <w:rPr>
                <w:rFonts w:eastAsia="Arial"/>
              </w:rPr>
              <w:t>Emprendedores creativos con énfasis en generación de valor. Diseño centrado en el usuario.</w:t>
            </w:r>
          </w:p>
        </w:tc>
        <w:tc>
          <w:tcPr>
            <w:tcW w:w="3700" w:type="dxa"/>
            <w:tcBorders>
              <w:top w:val="single" w:sz="1" w:space="0" w:color="999999"/>
              <w:left w:val="single" w:sz="1" w:space="0" w:color="999999"/>
              <w:bottom w:val="single" w:sz="1" w:space="0" w:color="999999"/>
              <w:right w:val="single" w:sz="1" w:space="0" w:color="999999"/>
            </w:tcBorders>
            <w:shd w:val="clear" w:color="FFFFFF" w:fill="FFFFFF"/>
            <w:tcMar>
              <w:top w:w="90" w:type="dxa"/>
              <w:left w:w="110" w:type="dxa"/>
              <w:bottom w:w="90" w:type="dxa"/>
              <w:right w:w="110" w:type="dxa"/>
            </w:tcMar>
          </w:tcPr>
          <w:p w14:paraId="7690A354" w14:textId="77777777" w:rsidR="00FF5C42" w:rsidRPr="004035CF" w:rsidRDefault="00C07C81" w:rsidP="008B2357">
            <w:pPr>
              <w:jc w:val="both"/>
            </w:pPr>
            <w:r w:rsidRPr="004035CF">
              <w:rPr>
                <w:rFonts w:eastAsia="Arial"/>
              </w:rPr>
              <w:t xml:space="preserve">• Diseño de producto (3er </w:t>
            </w:r>
            <w:proofErr w:type="spellStart"/>
            <w:r w:rsidRPr="004035CF">
              <w:rPr>
                <w:rFonts w:eastAsia="Arial"/>
              </w:rPr>
              <w:t>sem</w:t>
            </w:r>
            <w:proofErr w:type="spellEnd"/>
            <w:r w:rsidRPr="004035CF">
              <w:rPr>
                <w:rFonts w:eastAsia="Arial"/>
              </w:rPr>
              <w:t>.)</w:t>
            </w:r>
          </w:p>
          <w:p w14:paraId="7690A355" w14:textId="77777777" w:rsidR="00FF5C42" w:rsidRPr="004035CF" w:rsidRDefault="00C07C81" w:rsidP="008B2357">
            <w:pPr>
              <w:spacing w:before="20"/>
              <w:jc w:val="both"/>
            </w:pPr>
            <w:r w:rsidRPr="004035CF">
              <w:rPr>
                <w:rFonts w:eastAsia="Arial"/>
              </w:rPr>
              <w:t xml:space="preserve">• Diseño de productos y servicios (4to </w:t>
            </w:r>
            <w:proofErr w:type="spellStart"/>
            <w:r w:rsidRPr="004035CF">
              <w:rPr>
                <w:rFonts w:eastAsia="Arial"/>
              </w:rPr>
              <w:t>sem</w:t>
            </w:r>
            <w:proofErr w:type="spellEnd"/>
            <w:r w:rsidRPr="004035CF">
              <w:rPr>
                <w:rFonts w:eastAsia="Arial"/>
              </w:rPr>
              <w:t>.)</w:t>
            </w:r>
          </w:p>
          <w:p w14:paraId="7690A356" w14:textId="77777777" w:rsidR="00FF5C42" w:rsidRPr="004035CF" w:rsidRDefault="00C07C81" w:rsidP="008B2357">
            <w:pPr>
              <w:spacing w:before="20"/>
              <w:jc w:val="both"/>
            </w:pPr>
            <w:r w:rsidRPr="004035CF">
              <w:rPr>
                <w:rFonts w:eastAsia="Arial"/>
              </w:rPr>
              <w:t xml:space="preserve">• Diseño de experiencias I y II (5to-6to </w:t>
            </w:r>
            <w:proofErr w:type="spellStart"/>
            <w:r w:rsidRPr="004035CF">
              <w:rPr>
                <w:rFonts w:eastAsia="Arial"/>
              </w:rPr>
              <w:t>sem</w:t>
            </w:r>
            <w:proofErr w:type="spellEnd"/>
            <w:r w:rsidRPr="004035CF">
              <w:rPr>
                <w:rFonts w:eastAsia="Arial"/>
              </w:rPr>
              <w:t>.)</w:t>
            </w:r>
          </w:p>
          <w:p w14:paraId="7690A357" w14:textId="77777777" w:rsidR="00FF5C42" w:rsidRPr="004035CF" w:rsidRDefault="00C07C81" w:rsidP="008B2357">
            <w:pPr>
              <w:spacing w:before="20"/>
              <w:jc w:val="both"/>
            </w:pPr>
            <w:r w:rsidRPr="004035CF">
              <w:rPr>
                <w:rFonts w:eastAsia="Arial"/>
              </w:rPr>
              <w:t xml:space="preserve">• Diseño de productos y sistemas I y II (7mo-8vo </w:t>
            </w:r>
            <w:proofErr w:type="spellStart"/>
            <w:r w:rsidRPr="004035CF">
              <w:rPr>
                <w:rFonts w:eastAsia="Arial"/>
              </w:rPr>
              <w:t>sem</w:t>
            </w:r>
            <w:proofErr w:type="spellEnd"/>
            <w:r w:rsidRPr="004035CF">
              <w:rPr>
                <w:rFonts w:eastAsia="Arial"/>
              </w:rPr>
              <w:t>.)</w:t>
            </w:r>
          </w:p>
          <w:p w14:paraId="7690A358" w14:textId="77777777" w:rsidR="00FF5C42" w:rsidRPr="004035CF" w:rsidRDefault="00C07C81" w:rsidP="008B2357">
            <w:pPr>
              <w:spacing w:before="20"/>
              <w:jc w:val="both"/>
            </w:pPr>
            <w:r w:rsidRPr="004035CF">
              <w:rPr>
                <w:rFonts w:eastAsia="Arial"/>
              </w:rPr>
              <w:t xml:space="preserve">• Desarrollo de productos y marcas globales (9no </w:t>
            </w:r>
            <w:proofErr w:type="spellStart"/>
            <w:r w:rsidRPr="004035CF">
              <w:rPr>
                <w:rFonts w:eastAsia="Arial"/>
              </w:rPr>
              <w:t>sem</w:t>
            </w:r>
            <w:proofErr w:type="spellEnd"/>
            <w:r w:rsidRPr="004035CF">
              <w:rPr>
                <w:rFonts w:eastAsia="Arial"/>
              </w:rPr>
              <w:t>.)</w:t>
            </w:r>
          </w:p>
        </w:tc>
        <w:tc>
          <w:tcPr>
            <w:tcW w:w="3900" w:type="dxa"/>
            <w:tcBorders>
              <w:top w:val="single" w:sz="1" w:space="0" w:color="999999"/>
              <w:left w:val="single" w:sz="1" w:space="0" w:color="999999"/>
              <w:bottom w:val="single" w:sz="1" w:space="0" w:color="999999"/>
              <w:right w:val="single" w:sz="1" w:space="0" w:color="999999"/>
            </w:tcBorders>
            <w:shd w:val="clear" w:color="FFFFFF" w:fill="FCE4D6"/>
            <w:tcMar>
              <w:top w:w="90" w:type="dxa"/>
              <w:left w:w="110" w:type="dxa"/>
              <w:bottom w:w="90" w:type="dxa"/>
              <w:right w:w="110" w:type="dxa"/>
            </w:tcMar>
          </w:tcPr>
          <w:p w14:paraId="7690A359" w14:textId="77777777" w:rsidR="00FF5C42" w:rsidRPr="004035CF" w:rsidRDefault="00C07C81" w:rsidP="008B2357">
            <w:pPr>
              <w:jc w:val="both"/>
            </w:pPr>
            <w:r w:rsidRPr="004035CF">
              <w:rPr>
                <w:rFonts w:eastAsia="Arial"/>
                <w:i/>
                <w:iCs/>
                <w:color w:val="666666"/>
              </w:rPr>
              <w:t>No identificada como asignatura específica</w:t>
            </w:r>
          </w:p>
          <w:p w14:paraId="7690A35A" w14:textId="77777777" w:rsidR="00FF5C42" w:rsidRPr="004035CF" w:rsidRDefault="00C07C81" w:rsidP="008B2357">
            <w:pPr>
              <w:spacing w:before="30"/>
              <w:jc w:val="both"/>
            </w:pPr>
            <w:r w:rsidRPr="004035CF">
              <w:rPr>
                <w:rFonts w:eastAsia="Arial"/>
                <w:i/>
                <w:iCs/>
                <w:color w:val="888888"/>
              </w:rPr>
              <w:t>El programa enfatiza aspectos legales y comerciales dentro de materias de emprendimiento e innovación</w:t>
            </w:r>
          </w:p>
        </w:tc>
      </w:tr>
      <w:tr w:rsidR="00FF5C42" w:rsidRPr="004035CF" w14:paraId="7690A367" w14:textId="77777777">
        <w:tc>
          <w:tcPr>
            <w:tcW w:w="22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5C" w14:textId="77777777" w:rsidR="00FF5C42" w:rsidRPr="004035CF" w:rsidRDefault="00C07C81" w:rsidP="008B2357">
            <w:pPr>
              <w:jc w:val="both"/>
            </w:pPr>
            <w:r w:rsidRPr="004035CF">
              <w:rPr>
                <w:rFonts w:eastAsia="Arial"/>
                <w:b/>
                <w:bCs/>
                <w:color w:val="2E74B5"/>
              </w:rPr>
              <w:t>UAM</w:t>
            </w:r>
          </w:p>
          <w:p w14:paraId="7690A35D" w14:textId="77777777" w:rsidR="00FF5C42" w:rsidRPr="004035CF" w:rsidRDefault="00C07C81" w:rsidP="008B2357">
            <w:pPr>
              <w:spacing w:before="30"/>
              <w:jc w:val="both"/>
            </w:pPr>
            <w:r w:rsidRPr="004035CF">
              <w:rPr>
                <w:rFonts w:eastAsia="Arial"/>
                <w:color w:val="555555"/>
              </w:rPr>
              <w:t xml:space="preserve">Unidades Xochimilco, </w:t>
            </w:r>
            <w:r w:rsidRPr="004035CF">
              <w:rPr>
                <w:rFonts w:eastAsia="Arial"/>
                <w:color w:val="555555"/>
              </w:rPr>
              <w:lastRenderedPageBreak/>
              <w:t>Azcapotzalco y Cuajimalpa</w:t>
            </w:r>
          </w:p>
          <w:p w14:paraId="7690A35E" w14:textId="77777777" w:rsidR="00FF5C42" w:rsidRPr="004035CF" w:rsidRDefault="00C07C81" w:rsidP="008B2357">
            <w:pPr>
              <w:spacing w:before="20"/>
              <w:jc w:val="both"/>
            </w:pPr>
            <w:r w:rsidRPr="004035CF">
              <w:rPr>
                <w:rFonts w:eastAsia="Arial"/>
                <w:i/>
                <w:iCs/>
                <w:color w:val="777777"/>
              </w:rPr>
              <w:t>Ciudad de México</w:t>
            </w:r>
          </w:p>
        </w:tc>
        <w:tc>
          <w:tcPr>
            <w:tcW w:w="18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5F" w14:textId="77777777" w:rsidR="00FF5C42" w:rsidRPr="004035CF" w:rsidRDefault="00C07C81" w:rsidP="008B2357">
            <w:pPr>
              <w:jc w:val="both"/>
            </w:pPr>
            <w:r w:rsidRPr="004035CF">
              <w:rPr>
                <w:rFonts w:eastAsia="Arial"/>
              </w:rPr>
              <w:lastRenderedPageBreak/>
              <w:t>12 trimestres (aprox.)</w:t>
            </w:r>
          </w:p>
        </w:tc>
        <w:tc>
          <w:tcPr>
            <w:tcW w:w="28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60" w14:textId="77777777" w:rsidR="00FF5C42" w:rsidRPr="004035CF" w:rsidRDefault="00C07C81" w:rsidP="008B2357">
            <w:pPr>
              <w:jc w:val="both"/>
            </w:pPr>
            <w:r w:rsidRPr="004035CF">
              <w:rPr>
                <w:rFonts w:eastAsia="Arial"/>
              </w:rPr>
              <w:t>Sistema modular. Enfoque en solución de problemas reales y vinculación con la industria.</w:t>
            </w:r>
          </w:p>
        </w:tc>
        <w:tc>
          <w:tcPr>
            <w:tcW w:w="3700" w:type="dxa"/>
            <w:tcBorders>
              <w:top w:val="single" w:sz="1" w:space="0" w:color="999999"/>
              <w:left w:val="single" w:sz="1" w:space="0" w:color="999999"/>
              <w:bottom w:val="single" w:sz="1" w:space="0" w:color="999999"/>
              <w:right w:val="single" w:sz="1" w:space="0" w:color="999999"/>
            </w:tcBorders>
            <w:shd w:val="clear" w:color="FFFFFF" w:fill="E2EFDA"/>
            <w:tcMar>
              <w:top w:w="90" w:type="dxa"/>
              <w:left w:w="110" w:type="dxa"/>
              <w:bottom w:w="90" w:type="dxa"/>
              <w:right w:w="110" w:type="dxa"/>
            </w:tcMar>
          </w:tcPr>
          <w:p w14:paraId="7690A361" w14:textId="77777777" w:rsidR="00FF5C42" w:rsidRPr="004035CF" w:rsidRDefault="00C07C81" w:rsidP="008B2357">
            <w:pPr>
              <w:jc w:val="both"/>
            </w:pPr>
            <w:r w:rsidRPr="004035CF">
              <w:rPr>
                <w:rFonts w:eastAsia="Arial"/>
              </w:rPr>
              <w:t xml:space="preserve">• Introducción al Diseño Industrial (1er-2do </w:t>
            </w:r>
            <w:proofErr w:type="spellStart"/>
            <w:r w:rsidRPr="004035CF">
              <w:rPr>
                <w:rFonts w:eastAsia="Arial"/>
              </w:rPr>
              <w:t>trim</w:t>
            </w:r>
            <w:proofErr w:type="spellEnd"/>
            <w:r w:rsidRPr="004035CF">
              <w:rPr>
                <w:rFonts w:eastAsia="Arial"/>
              </w:rPr>
              <w:t>.)</w:t>
            </w:r>
          </w:p>
          <w:p w14:paraId="7690A362" w14:textId="77777777" w:rsidR="00FF5C42" w:rsidRPr="004035CF" w:rsidRDefault="00C07C81" w:rsidP="008B2357">
            <w:pPr>
              <w:spacing w:before="20"/>
              <w:jc w:val="both"/>
            </w:pPr>
            <w:r w:rsidRPr="004035CF">
              <w:rPr>
                <w:rFonts w:eastAsia="Arial"/>
              </w:rPr>
              <w:t>• Diseño de Productos (distribuido en varios trimestres)</w:t>
            </w:r>
          </w:p>
          <w:p w14:paraId="7690A363" w14:textId="77777777" w:rsidR="00FF5C42" w:rsidRPr="004035CF" w:rsidRDefault="00C07C81" w:rsidP="008B2357">
            <w:pPr>
              <w:spacing w:before="20"/>
              <w:jc w:val="both"/>
            </w:pPr>
            <w:r w:rsidRPr="004035CF">
              <w:rPr>
                <w:rFonts w:eastAsia="Arial"/>
              </w:rPr>
              <w:lastRenderedPageBreak/>
              <w:t>• Desarrollo de Proyectos (módulos integradores)</w:t>
            </w:r>
          </w:p>
          <w:p w14:paraId="7690A364" w14:textId="77777777" w:rsidR="00FF5C42" w:rsidRPr="004035CF" w:rsidRDefault="00C07C81" w:rsidP="008B2357">
            <w:pPr>
              <w:spacing w:before="20"/>
              <w:jc w:val="both"/>
            </w:pPr>
            <w:r w:rsidRPr="004035CF">
              <w:rPr>
                <w:rFonts w:eastAsia="Arial"/>
              </w:rPr>
              <w:t>• Taller de Diseño (ciclos avanzados)</w:t>
            </w:r>
          </w:p>
        </w:tc>
        <w:tc>
          <w:tcPr>
            <w:tcW w:w="3900" w:type="dxa"/>
            <w:tcBorders>
              <w:top w:val="single" w:sz="1" w:space="0" w:color="999999"/>
              <w:left w:val="single" w:sz="1" w:space="0" w:color="999999"/>
              <w:bottom w:val="single" w:sz="1" w:space="0" w:color="999999"/>
              <w:right w:val="single" w:sz="1" w:space="0" w:color="999999"/>
            </w:tcBorders>
            <w:shd w:val="clear" w:color="FFFFFF" w:fill="FCE4D6"/>
            <w:tcMar>
              <w:top w:w="90" w:type="dxa"/>
              <w:left w:w="110" w:type="dxa"/>
              <w:bottom w:w="90" w:type="dxa"/>
              <w:right w:w="110" w:type="dxa"/>
            </w:tcMar>
          </w:tcPr>
          <w:p w14:paraId="7690A365" w14:textId="77777777" w:rsidR="00FF5C42" w:rsidRPr="004035CF" w:rsidRDefault="00C07C81" w:rsidP="008B2357">
            <w:pPr>
              <w:jc w:val="both"/>
            </w:pPr>
            <w:r w:rsidRPr="004035CF">
              <w:rPr>
                <w:rFonts w:eastAsia="Arial"/>
              </w:rPr>
              <w:lastRenderedPageBreak/>
              <w:t>La UAM cuenta con Área de Propiedad Industrial institucional que brinda apoyo a profesores e investigadores</w:t>
            </w:r>
          </w:p>
          <w:p w14:paraId="7690A366" w14:textId="77777777" w:rsidR="00FF5C42" w:rsidRPr="004035CF" w:rsidRDefault="00C07C81" w:rsidP="008B2357">
            <w:pPr>
              <w:spacing w:before="30"/>
              <w:jc w:val="both"/>
            </w:pPr>
            <w:r w:rsidRPr="004035CF">
              <w:rPr>
                <w:rFonts w:eastAsia="Arial"/>
                <w:i/>
                <w:iCs/>
                <w:color w:val="888888"/>
              </w:rPr>
              <w:lastRenderedPageBreak/>
              <w:t>La temática se integra transversalmente, no como asignatura específica en licenciatura</w:t>
            </w:r>
          </w:p>
        </w:tc>
      </w:tr>
      <w:tr w:rsidR="00FF5C42" w:rsidRPr="004035CF" w14:paraId="7690A374" w14:textId="77777777">
        <w:tc>
          <w:tcPr>
            <w:tcW w:w="2200" w:type="dxa"/>
            <w:tcBorders>
              <w:top w:val="single" w:sz="1" w:space="0" w:color="999999"/>
              <w:left w:val="single" w:sz="1" w:space="0" w:color="999999"/>
              <w:bottom w:val="single" w:sz="1" w:space="0" w:color="999999"/>
              <w:right w:val="single" w:sz="1" w:space="0" w:color="999999"/>
            </w:tcBorders>
            <w:shd w:val="clear" w:color="FFFFFF" w:fill="FFFFFF"/>
            <w:tcMar>
              <w:top w:w="90" w:type="dxa"/>
              <w:left w:w="110" w:type="dxa"/>
              <w:bottom w:w="90" w:type="dxa"/>
              <w:right w:w="110" w:type="dxa"/>
            </w:tcMar>
          </w:tcPr>
          <w:p w14:paraId="7690A368" w14:textId="77777777" w:rsidR="00FF5C42" w:rsidRPr="004035CF" w:rsidRDefault="00C07C81" w:rsidP="008B2357">
            <w:pPr>
              <w:jc w:val="both"/>
            </w:pPr>
            <w:r w:rsidRPr="004035CF">
              <w:rPr>
                <w:rFonts w:eastAsia="Arial"/>
                <w:b/>
                <w:bCs/>
                <w:color w:val="2E74B5"/>
              </w:rPr>
              <w:lastRenderedPageBreak/>
              <w:t>Tecnológico Nacional de México (TecNM)</w:t>
            </w:r>
          </w:p>
          <w:p w14:paraId="7690A369" w14:textId="77777777" w:rsidR="00FF5C42" w:rsidRPr="004035CF" w:rsidRDefault="00C07C81" w:rsidP="008B2357">
            <w:pPr>
              <w:spacing w:before="30"/>
              <w:jc w:val="both"/>
            </w:pPr>
            <w:r w:rsidRPr="004035CF">
              <w:rPr>
                <w:rFonts w:eastAsia="Arial"/>
                <w:color w:val="555555"/>
              </w:rPr>
              <w:t>Sistema de 266 institutos en todo México</w:t>
            </w:r>
          </w:p>
        </w:tc>
        <w:tc>
          <w:tcPr>
            <w:tcW w:w="1800" w:type="dxa"/>
            <w:tcBorders>
              <w:top w:val="single" w:sz="1" w:space="0" w:color="999999"/>
              <w:left w:val="single" w:sz="1" w:space="0" w:color="999999"/>
              <w:bottom w:val="single" w:sz="1" w:space="0" w:color="999999"/>
              <w:right w:val="single" w:sz="1" w:space="0" w:color="999999"/>
            </w:tcBorders>
            <w:shd w:val="clear" w:color="FFFFFF" w:fill="FFFFFF"/>
            <w:tcMar>
              <w:top w:w="90" w:type="dxa"/>
              <w:left w:w="110" w:type="dxa"/>
              <w:bottom w:w="90" w:type="dxa"/>
              <w:right w:w="110" w:type="dxa"/>
            </w:tcMar>
          </w:tcPr>
          <w:p w14:paraId="7690A36A" w14:textId="77777777" w:rsidR="00FF5C42" w:rsidRPr="004035CF" w:rsidRDefault="00C07C81" w:rsidP="008B2357">
            <w:pPr>
              <w:jc w:val="both"/>
            </w:pPr>
            <w:r w:rsidRPr="004035CF">
              <w:rPr>
                <w:rFonts w:eastAsia="Arial"/>
              </w:rPr>
              <w:t>9 semestres (típico)</w:t>
            </w:r>
          </w:p>
        </w:tc>
        <w:tc>
          <w:tcPr>
            <w:tcW w:w="2800" w:type="dxa"/>
            <w:tcBorders>
              <w:top w:val="single" w:sz="1" w:space="0" w:color="999999"/>
              <w:left w:val="single" w:sz="1" w:space="0" w:color="999999"/>
              <w:bottom w:val="single" w:sz="1" w:space="0" w:color="999999"/>
              <w:right w:val="single" w:sz="1" w:space="0" w:color="999999"/>
            </w:tcBorders>
            <w:shd w:val="clear" w:color="FFFFFF" w:fill="FFFFFF"/>
            <w:tcMar>
              <w:top w:w="90" w:type="dxa"/>
              <w:left w:w="110" w:type="dxa"/>
              <w:bottom w:w="90" w:type="dxa"/>
              <w:right w:w="110" w:type="dxa"/>
            </w:tcMar>
          </w:tcPr>
          <w:p w14:paraId="7690A36B" w14:textId="77777777" w:rsidR="00FF5C42" w:rsidRPr="004035CF" w:rsidRDefault="00C07C81" w:rsidP="008B2357">
            <w:pPr>
              <w:jc w:val="both"/>
            </w:pPr>
            <w:r w:rsidRPr="004035CF">
              <w:rPr>
                <w:rFonts w:eastAsia="Arial"/>
                <w:color w:val="C00000"/>
              </w:rPr>
              <w:t>Nota: TecNM ofrece principalmente Ingeniería Industrial, no Diseño Industrial como carrera específica.</w:t>
            </w:r>
          </w:p>
          <w:p w14:paraId="7690A36C" w14:textId="77777777" w:rsidR="00FF5C42" w:rsidRPr="004035CF" w:rsidRDefault="00C07C81" w:rsidP="008B2357">
            <w:pPr>
              <w:spacing w:before="30"/>
              <w:jc w:val="both"/>
            </w:pPr>
            <w:r w:rsidRPr="004035CF">
              <w:rPr>
                <w:rFonts w:eastAsia="Arial"/>
                <w:i/>
                <w:iCs/>
                <w:color w:val="555555"/>
              </w:rPr>
              <w:t>Incluye materias relacionadas con desarrollo de productos en Ingeniería Industrial</w:t>
            </w:r>
          </w:p>
        </w:tc>
        <w:tc>
          <w:tcPr>
            <w:tcW w:w="3700" w:type="dxa"/>
            <w:tcBorders>
              <w:top w:val="single" w:sz="1" w:space="0" w:color="999999"/>
              <w:left w:val="single" w:sz="1" w:space="0" w:color="999999"/>
              <w:bottom w:val="single" w:sz="1" w:space="0" w:color="999999"/>
              <w:right w:val="single" w:sz="1" w:space="0" w:color="999999"/>
            </w:tcBorders>
            <w:shd w:val="clear" w:color="FFFFFF" w:fill="F2F2F2"/>
            <w:tcMar>
              <w:top w:w="90" w:type="dxa"/>
              <w:left w:w="110" w:type="dxa"/>
              <w:bottom w:w="90" w:type="dxa"/>
              <w:right w:w="110" w:type="dxa"/>
            </w:tcMar>
          </w:tcPr>
          <w:p w14:paraId="7690A36D" w14:textId="77777777" w:rsidR="00FF5C42" w:rsidRPr="004035CF" w:rsidRDefault="00C07C81" w:rsidP="008B2357">
            <w:pPr>
              <w:jc w:val="both"/>
            </w:pPr>
            <w:r w:rsidRPr="004035CF">
              <w:rPr>
                <w:rFonts w:eastAsia="Arial"/>
                <w:b/>
                <w:bCs/>
              </w:rPr>
              <w:t>En Ingeniería Industrial:</w:t>
            </w:r>
          </w:p>
          <w:p w14:paraId="7690A36E" w14:textId="77777777" w:rsidR="00FF5C42" w:rsidRPr="004035CF" w:rsidRDefault="00C07C81" w:rsidP="008B2357">
            <w:pPr>
              <w:spacing w:before="20"/>
              <w:jc w:val="both"/>
            </w:pPr>
            <w:r w:rsidRPr="004035CF">
              <w:rPr>
                <w:rFonts w:eastAsia="Arial"/>
              </w:rPr>
              <w:t xml:space="preserve">• Dibujo Industrial (1er </w:t>
            </w:r>
            <w:proofErr w:type="spellStart"/>
            <w:r w:rsidRPr="004035CF">
              <w:rPr>
                <w:rFonts w:eastAsia="Arial"/>
              </w:rPr>
              <w:t>sem</w:t>
            </w:r>
            <w:proofErr w:type="spellEnd"/>
            <w:r w:rsidRPr="004035CF">
              <w:rPr>
                <w:rFonts w:eastAsia="Arial"/>
              </w:rPr>
              <w:t>.)</w:t>
            </w:r>
          </w:p>
          <w:p w14:paraId="7690A36F" w14:textId="77777777" w:rsidR="00FF5C42" w:rsidRPr="004035CF" w:rsidRDefault="00C07C81" w:rsidP="008B2357">
            <w:pPr>
              <w:spacing w:before="20"/>
              <w:jc w:val="both"/>
            </w:pPr>
            <w:r w:rsidRPr="004035CF">
              <w:rPr>
                <w:rFonts w:eastAsia="Arial"/>
              </w:rPr>
              <w:t>• Desarrollo de productos de alto valor agregado (asignatura de especialidad)</w:t>
            </w:r>
          </w:p>
          <w:p w14:paraId="7690A370" w14:textId="77777777" w:rsidR="00FF5C42" w:rsidRPr="004035CF" w:rsidRDefault="00C07C81" w:rsidP="008B2357">
            <w:pPr>
              <w:spacing w:before="20"/>
              <w:jc w:val="both"/>
            </w:pPr>
            <w:r w:rsidRPr="004035CF">
              <w:rPr>
                <w:rFonts w:eastAsia="Arial"/>
              </w:rPr>
              <w:t>• Diseño de experimentos (</w:t>
            </w:r>
            <w:proofErr w:type="spellStart"/>
            <w:r w:rsidRPr="004035CF">
              <w:rPr>
                <w:rFonts w:eastAsia="Arial"/>
              </w:rPr>
              <w:t>sem</w:t>
            </w:r>
            <w:proofErr w:type="spellEnd"/>
            <w:r w:rsidRPr="004035CF">
              <w:rPr>
                <w:rFonts w:eastAsia="Arial"/>
              </w:rPr>
              <w:t>. avanzados)</w:t>
            </w:r>
          </w:p>
        </w:tc>
        <w:tc>
          <w:tcPr>
            <w:tcW w:w="3900" w:type="dxa"/>
            <w:tcBorders>
              <w:top w:val="single" w:sz="1" w:space="0" w:color="999999"/>
              <w:left w:val="single" w:sz="1" w:space="0" w:color="999999"/>
              <w:bottom w:val="single" w:sz="1" w:space="0" w:color="999999"/>
              <w:right w:val="single" w:sz="1" w:space="0" w:color="999999"/>
            </w:tcBorders>
            <w:shd w:val="clear" w:color="FFFFFF" w:fill="FCE4D6"/>
            <w:tcMar>
              <w:top w:w="90" w:type="dxa"/>
              <w:left w:w="110" w:type="dxa"/>
              <w:bottom w:w="90" w:type="dxa"/>
              <w:right w:w="110" w:type="dxa"/>
            </w:tcMar>
          </w:tcPr>
          <w:p w14:paraId="7690A371" w14:textId="77777777" w:rsidR="00FF5C42" w:rsidRPr="004035CF" w:rsidRDefault="00C07C81" w:rsidP="008B2357">
            <w:pPr>
              <w:jc w:val="both"/>
            </w:pPr>
            <w:r w:rsidRPr="004035CF">
              <w:rPr>
                <w:rFonts w:eastAsia="Arial"/>
                <w:b/>
                <w:bCs/>
              </w:rPr>
              <w:t>• Propiedad Intelectual</w:t>
            </w:r>
          </w:p>
          <w:p w14:paraId="7690A372" w14:textId="77777777" w:rsidR="00FF5C42" w:rsidRPr="004035CF" w:rsidRDefault="00C07C81" w:rsidP="008B2357">
            <w:pPr>
              <w:spacing w:before="10"/>
              <w:jc w:val="both"/>
            </w:pPr>
            <w:r w:rsidRPr="004035CF">
              <w:rPr>
                <w:rFonts w:eastAsia="Arial"/>
              </w:rPr>
              <w:t xml:space="preserve">(Asignatura disponible en carreras de Administración e Ingeniería en Gestión Empresarial, 7mo-8vo </w:t>
            </w:r>
            <w:proofErr w:type="spellStart"/>
            <w:r w:rsidRPr="004035CF">
              <w:rPr>
                <w:rFonts w:eastAsia="Arial"/>
              </w:rPr>
              <w:t>sem</w:t>
            </w:r>
            <w:proofErr w:type="spellEnd"/>
            <w:r w:rsidRPr="004035CF">
              <w:rPr>
                <w:rFonts w:eastAsia="Arial"/>
              </w:rPr>
              <w:t>.)</w:t>
            </w:r>
          </w:p>
          <w:p w14:paraId="7690A373" w14:textId="77777777" w:rsidR="00FF5C42" w:rsidRPr="004035CF" w:rsidRDefault="00C07C81" w:rsidP="008B2357">
            <w:pPr>
              <w:spacing w:before="30"/>
              <w:jc w:val="both"/>
            </w:pPr>
            <w:r w:rsidRPr="004035CF">
              <w:rPr>
                <w:rFonts w:eastAsia="Arial"/>
                <w:i/>
                <w:iCs/>
                <w:color w:val="888888"/>
              </w:rPr>
              <w:t>TecNM ofrece cursos MOOC sobre Propiedad Intelectual a través de Centros de Patentamiento (CRODE)</w:t>
            </w:r>
          </w:p>
        </w:tc>
      </w:tr>
      <w:tr w:rsidR="00FF5C42" w:rsidRPr="004035CF" w14:paraId="7690A37F" w14:textId="77777777">
        <w:tc>
          <w:tcPr>
            <w:tcW w:w="22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75" w14:textId="77777777" w:rsidR="00FF5C42" w:rsidRPr="004035CF" w:rsidRDefault="00C07C81" w:rsidP="008B2357">
            <w:pPr>
              <w:jc w:val="both"/>
            </w:pPr>
            <w:r w:rsidRPr="004035CF">
              <w:rPr>
                <w:rFonts w:eastAsia="Arial"/>
                <w:b/>
                <w:bCs/>
                <w:color w:val="2E74B5"/>
              </w:rPr>
              <w:t>Universidad Iberoamericana</w:t>
            </w:r>
          </w:p>
          <w:p w14:paraId="7690A376" w14:textId="77777777" w:rsidR="00FF5C42" w:rsidRPr="004035CF" w:rsidRDefault="00C07C81" w:rsidP="008B2357">
            <w:pPr>
              <w:spacing w:before="30"/>
              <w:jc w:val="both"/>
            </w:pPr>
            <w:r w:rsidRPr="004035CF">
              <w:rPr>
                <w:rFonts w:eastAsia="Arial"/>
                <w:color w:val="555555"/>
              </w:rPr>
              <w:t>Campus Santa Fe, Puebla, Torreón</w:t>
            </w:r>
          </w:p>
        </w:tc>
        <w:tc>
          <w:tcPr>
            <w:tcW w:w="18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77" w14:textId="77777777" w:rsidR="00FF5C42" w:rsidRPr="004035CF" w:rsidRDefault="00C07C81" w:rsidP="008B2357">
            <w:pPr>
              <w:jc w:val="both"/>
            </w:pPr>
            <w:r w:rsidRPr="004035CF">
              <w:rPr>
                <w:rFonts w:eastAsia="Arial"/>
              </w:rPr>
              <w:t>8-9 semestres</w:t>
            </w:r>
          </w:p>
        </w:tc>
        <w:tc>
          <w:tcPr>
            <w:tcW w:w="2800" w:type="dxa"/>
            <w:tcBorders>
              <w:top w:val="single" w:sz="1" w:space="0" w:color="999999"/>
              <w:left w:val="single" w:sz="1" w:space="0" w:color="999999"/>
              <w:bottom w:val="single" w:sz="1" w:space="0" w:color="999999"/>
              <w:right w:val="single" w:sz="1" w:space="0" w:color="999999"/>
            </w:tcBorders>
            <w:shd w:val="clear" w:color="FFFFFF" w:fill="D6E4F0"/>
            <w:tcMar>
              <w:top w:w="90" w:type="dxa"/>
              <w:left w:w="110" w:type="dxa"/>
              <w:bottom w:w="90" w:type="dxa"/>
              <w:right w:w="110" w:type="dxa"/>
            </w:tcMar>
          </w:tcPr>
          <w:p w14:paraId="7690A378" w14:textId="77777777" w:rsidR="00FF5C42" w:rsidRPr="004035CF" w:rsidRDefault="00C07C81" w:rsidP="008B2357">
            <w:pPr>
              <w:jc w:val="both"/>
            </w:pPr>
            <w:r w:rsidRPr="004035CF">
              <w:rPr>
                <w:rFonts w:eastAsia="Arial"/>
              </w:rPr>
              <w:t>Enfoque humanista con énfasis en innovación social y sustentabilidad. Diseño de productos, servicios y experiencias.</w:t>
            </w:r>
          </w:p>
        </w:tc>
        <w:tc>
          <w:tcPr>
            <w:tcW w:w="3700" w:type="dxa"/>
            <w:tcBorders>
              <w:top w:val="single" w:sz="1" w:space="0" w:color="999999"/>
              <w:left w:val="single" w:sz="1" w:space="0" w:color="999999"/>
              <w:bottom w:val="single" w:sz="1" w:space="0" w:color="999999"/>
              <w:right w:val="single" w:sz="1" w:space="0" w:color="999999"/>
            </w:tcBorders>
            <w:shd w:val="clear" w:color="FFFFFF" w:fill="E2EFDA"/>
            <w:tcMar>
              <w:top w:w="90" w:type="dxa"/>
              <w:left w:w="110" w:type="dxa"/>
              <w:bottom w:w="90" w:type="dxa"/>
              <w:right w:w="110" w:type="dxa"/>
            </w:tcMar>
          </w:tcPr>
          <w:p w14:paraId="7690A379" w14:textId="77777777" w:rsidR="00FF5C42" w:rsidRPr="004035CF" w:rsidRDefault="00C07C81" w:rsidP="008B2357">
            <w:pPr>
              <w:jc w:val="both"/>
            </w:pPr>
            <w:r w:rsidRPr="004035CF">
              <w:rPr>
                <w:rFonts w:eastAsia="Arial"/>
              </w:rPr>
              <w:t xml:space="preserve">• Taller de Diseño de Productos (múltiples niveles, 2do-6to </w:t>
            </w:r>
            <w:proofErr w:type="spellStart"/>
            <w:r w:rsidRPr="004035CF">
              <w:rPr>
                <w:rFonts w:eastAsia="Arial"/>
              </w:rPr>
              <w:t>sem</w:t>
            </w:r>
            <w:proofErr w:type="spellEnd"/>
            <w:r w:rsidRPr="004035CF">
              <w:rPr>
                <w:rFonts w:eastAsia="Arial"/>
              </w:rPr>
              <w:t>.)</w:t>
            </w:r>
          </w:p>
          <w:p w14:paraId="7690A37A" w14:textId="77777777" w:rsidR="00FF5C42" w:rsidRPr="004035CF" w:rsidRDefault="00C07C81" w:rsidP="008B2357">
            <w:pPr>
              <w:spacing w:before="20"/>
              <w:jc w:val="both"/>
            </w:pPr>
            <w:r w:rsidRPr="004035CF">
              <w:rPr>
                <w:rFonts w:eastAsia="Arial"/>
              </w:rPr>
              <w:t xml:space="preserve">• Materiales y Procesos (3er-4to </w:t>
            </w:r>
            <w:proofErr w:type="spellStart"/>
            <w:r w:rsidRPr="004035CF">
              <w:rPr>
                <w:rFonts w:eastAsia="Arial"/>
              </w:rPr>
              <w:t>sem</w:t>
            </w:r>
            <w:proofErr w:type="spellEnd"/>
            <w:r w:rsidRPr="004035CF">
              <w:rPr>
                <w:rFonts w:eastAsia="Arial"/>
              </w:rPr>
              <w:t>.)</w:t>
            </w:r>
          </w:p>
          <w:p w14:paraId="7690A37B" w14:textId="77777777" w:rsidR="00FF5C42" w:rsidRPr="004035CF" w:rsidRDefault="00C07C81" w:rsidP="008B2357">
            <w:pPr>
              <w:spacing w:before="20"/>
              <w:jc w:val="both"/>
            </w:pPr>
            <w:r w:rsidRPr="004035CF">
              <w:rPr>
                <w:rFonts w:eastAsia="Arial"/>
              </w:rPr>
              <w:t xml:space="preserve">• Diseño de Servicios (6to-7mo </w:t>
            </w:r>
            <w:proofErr w:type="spellStart"/>
            <w:r w:rsidRPr="004035CF">
              <w:rPr>
                <w:rFonts w:eastAsia="Arial"/>
              </w:rPr>
              <w:t>sem</w:t>
            </w:r>
            <w:proofErr w:type="spellEnd"/>
            <w:r w:rsidRPr="004035CF">
              <w:rPr>
                <w:rFonts w:eastAsia="Arial"/>
              </w:rPr>
              <w:t>.)</w:t>
            </w:r>
          </w:p>
          <w:p w14:paraId="7690A37C" w14:textId="77777777" w:rsidR="00FF5C42" w:rsidRPr="004035CF" w:rsidRDefault="00C07C81" w:rsidP="008B2357">
            <w:pPr>
              <w:spacing w:before="20"/>
              <w:jc w:val="both"/>
            </w:pPr>
            <w:r w:rsidRPr="004035CF">
              <w:rPr>
                <w:rFonts w:eastAsia="Arial"/>
              </w:rPr>
              <w:t xml:space="preserve">• Proyecto Terminal (8vo-9no </w:t>
            </w:r>
            <w:proofErr w:type="spellStart"/>
            <w:r w:rsidRPr="004035CF">
              <w:rPr>
                <w:rFonts w:eastAsia="Arial"/>
              </w:rPr>
              <w:t>sem</w:t>
            </w:r>
            <w:proofErr w:type="spellEnd"/>
            <w:r w:rsidRPr="004035CF">
              <w:rPr>
                <w:rFonts w:eastAsia="Arial"/>
              </w:rPr>
              <w:t>.)</w:t>
            </w:r>
          </w:p>
        </w:tc>
        <w:tc>
          <w:tcPr>
            <w:tcW w:w="3900" w:type="dxa"/>
            <w:tcBorders>
              <w:top w:val="single" w:sz="1" w:space="0" w:color="999999"/>
              <w:left w:val="single" w:sz="1" w:space="0" w:color="999999"/>
              <w:bottom w:val="single" w:sz="1" w:space="0" w:color="999999"/>
              <w:right w:val="single" w:sz="1" w:space="0" w:color="999999"/>
            </w:tcBorders>
            <w:shd w:val="clear" w:color="FFFFFF" w:fill="FCE4D6"/>
            <w:tcMar>
              <w:top w:w="90" w:type="dxa"/>
              <w:left w:w="110" w:type="dxa"/>
              <w:bottom w:w="90" w:type="dxa"/>
              <w:right w:w="110" w:type="dxa"/>
            </w:tcMar>
          </w:tcPr>
          <w:p w14:paraId="7690A37D" w14:textId="77777777" w:rsidR="00FF5C42" w:rsidRPr="004035CF" w:rsidRDefault="00C07C81" w:rsidP="008B2357">
            <w:pPr>
              <w:jc w:val="both"/>
            </w:pPr>
            <w:r w:rsidRPr="004035CF">
              <w:rPr>
                <w:rFonts w:eastAsia="Arial"/>
                <w:i/>
                <w:iCs/>
                <w:color w:val="666666"/>
              </w:rPr>
              <w:t>No identificada como asignatura obligatoria específica</w:t>
            </w:r>
          </w:p>
          <w:p w14:paraId="7690A37E" w14:textId="77777777" w:rsidR="00FF5C42" w:rsidRPr="004035CF" w:rsidRDefault="00C07C81" w:rsidP="008B2357">
            <w:pPr>
              <w:spacing w:before="30"/>
              <w:jc w:val="both"/>
            </w:pPr>
            <w:r w:rsidRPr="004035CF">
              <w:rPr>
                <w:rFonts w:eastAsia="Arial"/>
                <w:i/>
                <w:iCs/>
                <w:color w:val="888888"/>
              </w:rPr>
              <w:t>Puede estar disponible como optativa o dentro de materias de gestión del diseño</w:t>
            </w:r>
          </w:p>
        </w:tc>
      </w:tr>
    </w:tbl>
    <w:p w14:paraId="7690A380" w14:textId="77777777" w:rsidR="00FF5C42" w:rsidRDefault="00FF5C42" w:rsidP="008B2357">
      <w:pPr>
        <w:spacing w:before="160" w:after="80"/>
        <w:jc w:val="both"/>
      </w:pPr>
    </w:p>
    <w:p w14:paraId="4EDA5C31" w14:textId="77777777" w:rsidR="008B2357" w:rsidRDefault="008B2357" w:rsidP="008B2357">
      <w:pPr>
        <w:spacing w:before="160" w:after="80"/>
        <w:jc w:val="both"/>
      </w:pPr>
    </w:p>
    <w:p w14:paraId="33985454" w14:textId="77777777" w:rsidR="008B2357" w:rsidRDefault="008B2357" w:rsidP="008B2357">
      <w:pPr>
        <w:spacing w:before="160" w:after="80"/>
        <w:jc w:val="both"/>
      </w:pPr>
    </w:p>
    <w:p w14:paraId="5ECCB646" w14:textId="77777777" w:rsidR="008B2357" w:rsidRPr="004035CF" w:rsidRDefault="008B2357" w:rsidP="008B2357">
      <w:pPr>
        <w:spacing w:before="160" w:after="80"/>
        <w:jc w:val="both"/>
      </w:pPr>
    </w:p>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0"/>
      </w:tblGrid>
      <w:tr w:rsidR="00FF5C42" w:rsidRPr="004035CF" w14:paraId="7690A38A" w14:textId="77777777">
        <w:tc>
          <w:tcPr>
            <w:tcW w:w="14400" w:type="dxa"/>
            <w:tcBorders>
              <w:top w:val="single" w:sz="1" w:space="0" w:color="999999"/>
              <w:left w:val="single" w:sz="1" w:space="0" w:color="999999"/>
              <w:bottom w:val="single" w:sz="1" w:space="0" w:color="999999"/>
              <w:right w:val="single" w:sz="1" w:space="0" w:color="999999"/>
            </w:tcBorders>
            <w:shd w:val="clear" w:color="FFFFFF" w:fill="F2F2F2"/>
            <w:tcMar>
              <w:top w:w="120" w:type="dxa"/>
              <w:left w:w="180" w:type="dxa"/>
              <w:bottom w:w="120" w:type="dxa"/>
              <w:right w:w="180" w:type="dxa"/>
            </w:tcMar>
          </w:tcPr>
          <w:p w14:paraId="7690A381" w14:textId="77777777" w:rsidR="00FF5C42" w:rsidRPr="004035CF" w:rsidRDefault="00C07C81" w:rsidP="008B2357">
            <w:pPr>
              <w:jc w:val="both"/>
            </w:pPr>
            <w:r w:rsidRPr="004035CF">
              <w:rPr>
                <w:rFonts w:eastAsia="Arial"/>
                <w:b/>
                <w:bCs/>
                <w:color w:val="2E74B5"/>
              </w:rPr>
              <w:lastRenderedPageBreak/>
              <w:t>NOTAS IMPORTANTES:</w:t>
            </w:r>
          </w:p>
          <w:p w14:paraId="7690A382" w14:textId="77777777" w:rsidR="00FF5C42" w:rsidRPr="004035CF" w:rsidRDefault="00C07C81" w:rsidP="008B2357">
            <w:pPr>
              <w:spacing w:before="60"/>
              <w:jc w:val="both"/>
            </w:pPr>
            <w:r w:rsidRPr="004035CF">
              <w:rPr>
                <w:rFonts w:eastAsia="Arial"/>
              </w:rPr>
              <w:t>1. Propiedad Intelectual en Diseño Industrial: En la mayoría de las instituciones mexicanas, la materia de Propiedad Intelectual NO está incluida como asignatura obligatoria específica en los planes de estudio de Diseño Industrial a nivel licenciatura. Se aborda de manera transversal o como contenido dentro de materias de gestión, emprendimiento o innovación.</w:t>
            </w:r>
          </w:p>
          <w:p w14:paraId="7690A383" w14:textId="77777777" w:rsidR="00FF5C42" w:rsidRPr="004035CF" w:rsidRDefault="00C07C81" w:rsidP="008B2357">
            <w:pPr>
              <w:spacing w:before="50"/>
              <w:jc w:val="both"/>
            </w:pPr>
            <w:r w:rsidRPr="004035CF">
              <w:rPr>
                <w:rFonts w:eastAsia="Arial"/>
              </w:rPr>
              <w:t>2. Formación complementaria: Varias instituciones (UNAM, UAM, TecNM) ofrecen formación en Propiedad Intelectual a través de:</w:t>
            </w:r>
          </w:p>
          <w:p w14:paraId="7690A384" w14:textId="77777777" w:rsidR="00FF5C42" w:rsidRPr="004035CF" w:rsidRDefault="00C07C81" w:rsidP="008B2357">
            <w:pPr>
              <w:spacing w:before="30"/>
              <w:ind w:left="360"/>
              <w:jc w:val="both"/>
            </w:pPr>
            <w:r w:rsidRPr="004035CF">
              <w:rPr>
                <w:rFonts w:eastAsia="Arial"/>
              </w:rPr>
              <w:t>• Áreas institucionales de apoyo (oficinas de patentamiento y transferencia tecnológica)</w:t>
            </w:r>
          </w:p>
          <w:p w14:paraId="7690A385" w14:textId="77777777" w:rsidR="00FF5C42" w:rsidRPr="004035CF" w:rsidRDefault="00C07C81" w:rsidP="008B2357">
            <w:pPr>
              <w:ind w:left="360"/>
              <w:jc w:val="both"/>
            </w:pPr>
            <w:r w:rsidRPr="004035CF">
              <w:rPr>
                <w:rFonts w:eastAsia="Arial"/>
              </w:rPr>
              <w:t>• Cursos MOOC o educación continua</w:t>
            </w:r>
          </w:p>
          <w:p w14:paraId="7690A386" w14:textId="77777777" w:rsidR="00FF5C42" w:rsidRPr="004035CF" w:rsidRDefault="00C07C81" w:rsidP="008B2357">
            <w:pPr>
              <w:ind w:left="360"/>
              <w:jc w:val="both"/>
            </w:pPr>
            <w:r w:rsidRPr="004035CF">
              <w:rPr>
                <w:rFonts w:eastAsia="Arial"/>
              </w:rPr>
              <w:t>• Posgrados especializados (maestrías en Propiedad Intelectual)</w:t>
            </w:r>
          </w:p>
          <w:p w14:paraId="7690A387" w14:textId="77777777" w:rsidR="00FF5C42" w:rsidRPr="004035CF" w:rsidRDefault="00C07C81" w:rsidP="008B2357">
            <w:pPr>
              <w:ind w:left="360"/>
              <w:jc w:val="both"/>
            </w:pPr>
            <w:r w:rsidRPr="004035CF">
              <w:rPr>
                <w:rFonts w:eastAsia="Arial"/>
              </w:rPr>
              <w:t>• Talleres y seminarios extracurriculares</w:t>
            </w:r>
          </w:p>
          <w:p w14:paraId="7690A388" w14:textId="77777777" w:rsidR="00FF5C42" w:rsidRPr="004035CF" w:rsidRDefault="00C07C81" w:rsidP="008B2357">
            <w:pPr>
              <w:spacing w:before="50"/>
              <w:jc w:val="both"/>
            </w:pPr>
            <w:r w:rsidRPr="004035CF">
              <w:rPr>
                <w:rFonts w:eastAsia="Arial"/>
                <w:b/>
                <w:bCs/>
                <w:color w:val="C00000"/>
              </w:rPr>
              <w:t>3. Oportunidad de mejora: Existe un área de oportunidad clara para integrar contenidos formales de Propiedad Intelectual en los planes de estudio de Diseño Industrial, considerando la relevancia de proteger innovaciones, patentes de diseño industrial y marcas en la práctica profesional.</w:t>
            </w:r>
          </w:p>
          <w:p w14:paraId="7690A389" w14:textId="77777777" w:rsidR="00FF5C42" w:rsidRPr="004035CF" w:rsidRDefault="00C07C81" w:rsidP="008B2357">
            <w:pPr>
              <w:spacing w:before="50"/>
              <w:jc w:val="both"/>
            </w:pPr>
            <w:r w:rsidRPr="004035CF">
              <w:rPr>
                <w:rFonts w:eastAsia="Arial"/>
                <w:i/>
                <w:iCs/>
                <w:color w:val="888888"/>
              </w:rPr>
              <w:t>4. Fuentes: Información recopilada de sitios web oficiales, planes de estudio públicos y documentos institucionales al 12 de febrero de 2026.</w:t>
            </w:r>
          </w:p>
        </w:tc>
      </w:tr>
    </w:tbl>
    <w:p w14:paraId="7690A38B" w14:textId="77777777" w:rsidR="00FF5C42" w:rsidRPr="004035CF" w:rsidRDefault="00C07C81" w:rsidP="008B2357">
      <w:pPr>
        <w:spacing w:before="160"/>
        <w:jc w:val="both"/>
      </w:pPr>
      <w:r w:rsidRPr="004035CF">
        <w:rPr>
          <w:rFonts w:eastAsia="Arial"/>
          <w:i/>
          <w:iCs/>
          <w:color w:val="999999"/>
        </w:rPr>
        <w:t>Documento elaborado con fines académicos y de análisis curricular</w:t>
      </w:r>
    </w:p>
    <w:p w14:paraId="7690A38C" w14:textId="77777777" w:rsidR="00FF5C42" w:rsidRPr="004035CF" w:rsidRDefault="00C07C81" w:rsidP="008B2357">
      <w:pPr>
        <w:jc w:val="both"/>
        <w:rPr>
          <w:color w:val="0070C0"/>
        </w:rPr>
      </w:pPr>
      <w:r w:rsidRPr="004035CF">
        <w:rPr>
          <w:color w:val="0070C0"/>
        </w:rPr>
        <w:br w:type="page" w:clear="all"/>
      </w:r>
    </w:p>
    <w:p w14:paraId="7690A38D" w14:textId="77777777" w:rsidR="00FF5C42" w:rsidRPr="004035CF" w:rsidRDefault="00C07C81" w:rsidP="008B2357">
      <w:pPr>
        <w:spacing w:before="120" w:after="180"/>
        <w:jc w:val="both"/>
      </w:pPr>
      <w:r w:rsidRPr="004035CF">
        <w:rPr>
          <w:rFonts w:eastAsia="Arial"/>
          <w:b/>
          <w:bCs/>
          <w:color w:val="2E74B5"/>
        </w:rPr>
        <w:lastRenderedPageBreak/>
        <w:t>Anexo 2: TIPOS DE REGISTRO DISPONIBLES EN EL IMPI</w:t>
      </w:r>
    </w:p>
    <w:p w14:paraId="7690A38E" w14:textId="77777777" w:rsidR="00FF5C42" w:rsidRPr="004035CF" w:rsidRDefault="00C07C81" w:rsidP="008B2357">
      <w:pPr>
        <w:spacing w:after="120"/>
        <w:jc w:val="both"/>
      </w:pPr>
      <w:r w:rsidRPr="004035CF">
        <w:rPr>
          <w:rFonts w:eastAsia="Arial"/>
          <w:color w:val="555555"/>
        </w:rPr>
        <w:t>Instituto Mexicano de la Propiedad Industrial</w:t>
      </w:r>
    </w:p>
    <w:p w14:paraId="7690A38F" w14:textId="77777777" w:rsidR="00FF5C42" w:rsidRPr="004035CF" w:rsidRDefault="00C07C81" w:rsidP="008B2357">
      <w:pPr>
        <w:spacing w:after="100"/>
        <w:jc w:val="both"/>
      </w:pPr>
      <w:r w:rsidRPr="004035CF">
        <w:rPr>
          <w:rFonts w:eastAsia="Arial"/>
          <w:i/>
          <w:iCs/>
          <w:color w:val="777777"/>
        </w:rPr>
        <w:t>Guía práctica de requisitos, costos y tiempos (actualizado 2026)</w:t>
      </w:r>
    </w:p>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2800"/>
        <w:gridCol w:w="2800"/>
        <w:gridCol w:w="2400"/>
        <w:gridCol w:w="2000"/>
        <w:gridCol w:w="2000"/>
      </w:tblGrid>
      <w:tr w:rsidR="00FF5C42" w:rsidRPr="004035CF" w14:paraId="7690A396" w14:textId="77777777">
        <w:tc>
          <w:tcPr>
            <w:tcW w:w="2400" w:type="dxa"/>
            <w:tcBorders>
              <w:top w:val="single" w:sz="1" w:space="0" w:color="999999"/>
              <w:left w:val="single" w:sz="1" w:space="0" w:color="999999"/>
              <w:bottom w:val="single" w:sz="1" w:space="0" w:color="999999"/>
              <w:right w:val="single" w:sz="1" w:space="0" w:color="999999"/>
            </w:tcBorders>
            <w:shd w:val="clear" w:color="FFFFFF" w:fill="2E74B5"/>
            <w:tcMar>
              <w:top w:w="80" w:type="dxa"/>
              <w:left w:w="100" w:type="dxa"/>
              <w:bottom w:w="80" w:type="dxa"/>
              <w:right w:w="100" w:type="dxa"/>
            </w:tcMar>
          </w:tcPr>
          <w:p w14:paraId="7690A390" w14:textId="77777777" w:rsidR="00FF5C42" w:rsidRPr="004035CF" w:rsidRDefault="00C07C81" w:rsidP="008B2357">
            <w:pPr>
              <w:jc w:val="both"/>
            </w:pPr>
            <w:r w:rsidRPr="004035CF">
              <w:rPr>
                <w:rFonts w:eastAsia="Arial"/>
                <w:b/>
                <w:bCs/>
                <w:color w:val="FFFFFF"/>
              </w:rPr>
              <w:t>Tipo de Registro</w:t>
            </w:r>
          </w:p>
        </w:tc>
        <w:tc>
          <w:tcPr>
            <w:tcW w:w="2800" w:type="dxa"/>
            <w:tcBorders>
              <w:top w:val="single" w:sz="1" w:space="0" w:color="999999"/>
              <w:left w:val="single" w:sz="1" w:space="0" w:color="999999"/>
              <w:bottom w:val="single" w:sz="1" w:space="0" w:color="999999"/>
              <w:right w:val="single" w:sz="1" w:space="0" w:color="999999"/>
            </w:tcBorders>
            <w:shd w:val="clear" w:color="FFFFFF" w:fill="2E74B5"/>
            <w:tcMar>
              <w:top w:w="80" w:type="dxa"/>
              <w:left w:w="100" w:type="dxa"/>
              <w:bottom w:w="80" w:type="dxa"/>
              <w:right w:w="100" w:type="dxa"/>
            </w:tcMar>
          </w:tcPr>
          <w:p w14:paraId="7690A391" w14:textId="77777777" w:rsidR="00FF5C42" w:rsidRPr="004035CF" w:rsidRDefault="00C07C81" w:rsidP="008B2357">
            <w:pPr>
              <w:jc w:val="both"/>
            </w:pPr>
            <w:r w:rsidRPr="004035CF">
              <w:rPr>
                <w:rFonts w:eastAsia="Arial"/>
                <w:b/>
                <w:bCs/>
                <w:color w:val="FFFFFF"/>
              </w:rPr>
              <w:t>¿Qué protege?</w:t>
            </w:r>
          </w:p>
        </w:tc>
        <w:tc>
          <w:tcPr>
            <w:tcW w:w="2800" w:type="dxa"/>
            <w:tcBorders>
              <w:top w:val="single" w:sz="1" w:space="0" w:color="999999"/>
              <w:left w:val="single" w:sz="1" w:space="0" w:color="999999"/>
              <w:bottom w:val="single" w:sz="1" w:space="0" w:color="999999"/>
              <w:right w:val="single" w:sz="1" w:space="0" w:color="999999"/>
            </w:tcBorders>
            <w:shd w:val="clear" w:color="FFFFFF" w:fill="2E74B5"/>
            <w:tcMar>
              <w:top w:w="80" w:type="dxa"/>
              <w:left w:w="100" w:type="dxa"/>
              <w:bottom w:w="80" w:type="dxa"/>
              <w:right w:w="100" w:type="dxa"/>
            </w:tcMar>
          </w:tcPr>
          <w:p w14:paraId="7690A392" w14:textId="77777777" w:rsidR="00FF5C42" w:rsidRPr="004035CF" w:rsidRDefault="00C07C81" w:rsidP="008B2357">
            <w:pPr>
              <w:jc w:val="both"/>
            </w:pPr>
            <w:r w:rsidRPr="004035CF">
              <w:rPr>
                <w:rFonts w:eastAsia="Arial"/>
                <w:b/>
                <w:bCs/>
                <w:color w:val="FFFFFF"/>
              </w:rPr>
              <w:t>Requisitos Básicos</w:t>
            </w:r>
          </w:p>
        </w:tc>
        <w:tc>
          <w:tcPr>
            <w:tcW w:w="2400" w:type="dxa"/>
            <w:tcBorders>
              <w:top w:val="single" w:sz="1" w:space="0" w:color="999999"/>
              <w:left w:val="single" w:sz="1" w:space="0" w:color="999999"/>
              <w:bottom w:val="single" w:sz="1" w:space="0" w:color="999999"/>
              <w:right w:val="single" w:sz="1" w:space="0" w:color="999999"/>
            </w:tcBorders>
            <w:shd w:val="clear" w:color="FFFFFF" w:fill="2E74B5"/>
            <w:tcMar>
              <w:top w:w="80" w:type="dxa"/>
              <w:left w:w="100" w:type="dxa"/>
              <w:bottom w:w="80" w:type="dxa"/>
              <w:right w:w="100" w:type="dxa"/>
            </w:tcMar>
          </w:tcPr>
          <w:p w14:paraId="7690A393" w14:textId="77777777" w:rsidR="00FF5C42" w:rsidRPr="004035CF" w:rsidRDefault="00C07C81" w:rsidP="008B2357">
            <w:pPr>
              <w:jc w:val="both"/>
            </w:pPr>
            <w:r w:rsidRPr="004035CF">
              <w:rPr>
                <w:rFonts w:eastAsia="Arial"/>
                <w:b/>
                <w:bCs/>
                <w:color w:val="FFFFFF"/>
              </w:rPr>
              <w:t>Costo Aprox. (MXN)</w:t>
            </w:r>
          </w:p>
        </w:tc>
        <w:tc>
          <w:tcPr>
            <w:tcW w:w="2000" w:type="dxa"/>
            <w:tcBorders>
              <w:top w:val="single" w:sz="1" w:space="0" w:color="999999"/>
              <w:left w:val="single" w:sz="1" w:space="0" w:color="999999"/>
              <w:bottom w:val="single" w:sz="1" w:space="0" w:color="999999"/>
              <w:right w:val="single" w:sz="1" w:space="0" w:color="999999"/>
            </w:tcBorders>
            <w:shd w:val="clear" w:color="FFFFFF" w:fill="2E74B5"/>
            <w:tcMar>
              <w:top w:w="80" w:type="dxa"/>
              <w:left w:w="100" w:type="dxa"/>
              <w:bottom w:w="80" w:type="dxa"/>
              <w:right w:w="100" w:type="dxa"/>
            </w:tcMar>
          </w:tcPr>
          <w:p w14:paraId="7690A394" w14:textId="77777777" w:rsidR="00FF5C42" w:rsidRPr="004035CF" w:rsidRDefault="00C07C81" w:rsidP="008B2357">
            <w:pPr>
              <w:jc w:val="both"/>
            </w:pPr>
            <w:r w:rsidRPr="004035CF">
              <w:rPr>
                <w:rFonts w:eastAsia="Arial"/>
                <w:b/>
                <w:bCs/>
                <w:color w:val="FFFFFF"/>
              </w:rPr>
              <w:t>Tiempo de Resolución</w:t>
            </w:r>
          </w:p>
        </w:tc>
        <w:tc>
          <w:tcPr>
            <w:tcW w:w="2000" w:type="dxa"/>
            <w:tcBorders>
              <w:top w:val="single" w:sz="1" w:space="0" w:color="999999"/>
              <w:left w:val="single" w:sz="1" w:space="0" w:color="999999"/>
              <w:bottom w:val="single" w:sz="1" w:space="0" w:color="999999"/>
              <w:right w:val="single" w:sz="1" w:space="0" w:color="999999"/>
            </w:tcBorders>
            <w:shd w:val="clear" w:color="FFFFFF" w:fill="2E74B5"/>
            <w:tcMar>
              <w:top w:w="80" w:type="dxa"/>
              <w:left w:w="100" w:type="dxa"/>
              <w:bottom w:w="80" w:type="dxa"/>
              <w:right w:w="100" w:type="dxa"/>
            </w:tcMar>
          </w:tcPr>
          <w:p w14:paraId="7690A395" w14:textId="77777777" w:rsidR="00FF5C42" w:rsidRPr="004035CF" w:rsidRDefault="00C07C81" w:rsidP="008B2357">
            <w:pPr>
              <w:jc w:val="both"/>
            </w:pPr>
            <w:r w:rsidRPr="004035CF">
              <w:rPr>
                <w:rFonts w:eastAsia="Arial"/>
                <w:b/>
                <w:bCs/>
                <w:color w:val="FFFFFF"/>
              </w:rPr>
              <w:t>Vigencia</w:t>
            </w:r>
          </w:p>
        </w:tc>
      </w:tr>
      <w:tr w:rsidR="00FF5C42" w:rsidRPr="004035CF" w14:paraId="7690A3AE" w14:textId="77777777">
        <w:tc>
          <w:tcPr>
            <w:tcW w:w="2400"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00" w:type="dxa"/>
              <w:bottom w:w="80" w:type="dxa"/>
              <w:right w:w="100" w:type="dxa"/>
            </w:tcMar>
          </w:tcPr>
          <w:p w14:paraId="7690A397" w14:textId="77777777" w:rsidR="00FF5C42" w:rsidRPr="004035CF" w:rsidRDefault="00C07C81" w:rsidP="008B2357">
            <w:pPr>
              <w:jc w:val="both"/>
            </w:pPr>
            <w:r w:rsidRPr="004035CF">
              <w:rPr>
                <w:rFonts w:eastAsia="Arial"/>
                <w:b/>
                <w:bCs/>
                <w:color w:val="70AD47"/>
              </w:rPr>
              <w:t>MARCA</w:t>
            </w:r>
          </w:p>
          <w:p w14:paraId="7690A398" w14:textId="77777777" w:rsidR="00FF5C42" w:rsidRPr="004035CF" w:rsidRDefault="00C07C81" w:rsidP="008B2357">
            <w:pPr>
              <w:spacing w:before="30"/>
              <w:jc w:val="both"/>
            </w:pPr>
            <w:r w:rsidRPr="004035CF">
              <w:rPr>
                <w:rFonts w:eastAsia="Arial"/>
                <w:color w:val="555555"/>
              </w:rPr>
              <w:t>Nominativa, Innominada, Mixta o Tridimensional</w:t>
            </w:r>
          </w:p>
        </w:tc>
        <w:tc>
          <w:tcPr>
            <w:tcW w:w="2800"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00" w:type="dxa"/>
              <w:bottom w:w="80" w:type="dxa"/>
              <w:right w:w="100" w:type="dxa"/>
            </w:tcMar>
          </w:tcPr>
          <w:p w14:paraId="7690A399" w14:textId="77777777" w:rsidR="00FF5C42" w:rsidRPr="004035CF" w:rsidRDefault="00C07C81" w:rsidP="008B2357">
            <w:pPr>
              <w:jc w:val="both"/>
            </w:pPr>
            <w:r w:rsidRPr="004035CF">
              <w:rPr>
                <w:rFonts w:eastAsia="Arial"/>
              </w:rPr>
              <w:t>Signos distintivos que identifican productos o servicios: nombres, logotipos, diseños, colores, formas (empaques), o combinaciones de estos elementos</w:t>
            </w:r>
          </w:p>
        </w:tc>
        <w:tc>
          <w:tcPr>
            <w:tcW w:w="2800"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00" w:type="dxa"/>
              <w:bottom w:w="80" w:type="dxa"/>
              <w:right w:w="100" w:type="dxa"/>
            </w:tcMar>
          </w:tcPr>
          <w:p w14:paraId="7690A39A" w14:textId="77777777" w:rsidR="00FF5C42" w:rsidRPr="004035CF" w:rsidRDefault="00C07C81" w:rsidP="008B2357">
            <w:pPr>
              <w:jc w:val="both"/>
            </w:pPr>
            <w:r w:rsidRPr="004035CF">
              <w:rPr>
                <w:rFonts w:eastAsia="Arial"/>
              </w:rPr>
              <w:t>• Búsqueda de anterioridades</w:t>
            </w:r>
          </w:p>
          <w:p w14:paraId="7690A39B" w14:textId="77777777" w:rsidR="00FF5C42" w:rsidRPr="004035CF" w:rsidRDefault="00C07C81" w:rsidP="008B2357">
            <w:pPr>
              <w:spacing w:before="15"/>
              <w:jc w:val="both"/>
            </w:pPr>
            <w:r w:rsidRPr="004035CF">
              <w:rPr>
                <w:rFonts w:eastAsia="Arial"/>
              </w:rPr>
              <w:t>• Formato IMPI-00-001 (PASE)</w:t>
            </w:r>
          </w:p>
          <w:p w14:paraId="7690A39C" w14:textId="77777777" w:rsidR="00FF5C42" w:rsidRPr="004035CF" w:rsidRDefault="00C07C81" w:rsidP="008B2357">
            <w:pPr>
              <w:spacing w:before="15"/>
              <w:jc w:val="both"/>
            </w:pPr>
            <w:r w:rsidRPr="004035CF">
              <w:rPr>
                <w:rFonts w:eastAsia="Arial"/>
              </w:rPr>
              <w:t>• Archivo imagen (GIF &lt;1MB)</w:t>
            </w:r>
          </w:p>
          <w:p w14:paraId="7690A39D" w14:textId="77777777" w:rsidR="00FF5C42" w:rsidRPr="004035CF" w:rsidRDefault="00C07C81" w:rsidP="008B2357">
            <w:pPr>
              <w:spacing w:before="15"/>
              <w:jc w:val="both"/>
            </w:pPr>
            <w:r w:rsidRPr="004035CF">
              <w:rPr>
                <w:rFonts w:eastAsia="Arial"/>
              </w:rPr>
              <w:t>• Clasificación de Niza (clase)</w:t>
            </w:r>
          </w:p>
          <w:p w14:paraId="7690A39E" w14:textId="77777777" w:rsidR="00FF5C42" w:rsidRPr="004035CF" w:rsidRDefault="00C07C81" w:rsidP="008B2357">
            <w:pPr>
              <w:spacing w:before="15"/>
              <w:jc w:val="both"/>
            </w:pPr>
            <w:r w:rsidRPr="004035CF">
              <w:rPr>
                <w:rFonts w:eastAsia="Arial"/>
              </w:rPr>
              <w:t>• Comprobante de pago</w:t>
            </w:r>
          </w:p>
          <w:p w14:paraId="7690A39F" w14:textId="77777777" w:rsidR="00FF5C42" w:rsidRPr="004035CF" w:rsidRDefault="00C07C81" w:rsidP="008B2357">
            <w:pPr>
              <w:spacing w:before="15"/>
              <w:jc w:val="both"/>
            </w:pPr>
            <w:r w:rsidRPr="004035CF">
              <w:rPr>
                <w:rFonts w:eastAsia="Arial"/>
              </w:rPr>
              <w:t xml:space="preserve">• </w:t>
            </w:r>
            <w:proofErr w:type="spellStart"/>
            <w:proofErr w:type="gramStart"/>
            <w:r w:rsidRPr="004035CF">
              <w:rPr>
                <w:rFonts w:eastAsia="Arial"/>
              </w:rPr>
              <w:t>e.firma</w:t>
            </w:r>
            <w:proofErr w:type="spellEnd"/>
            <w:proofErr w:type="gramEnd"/>
            <w:r w:rsidRPr="004035CF">
              <w:rPr>
                <w:rFonts w:eastAsia="Arial"/>
              </w:rPr>
              <w:t xml:space="preserve"> (firma electrónica)</w:t>
            </w:r>
          </w:p>
        </w:tc>
        <w:tc>
          <w:tcPr>
            <w:tcW w:w="2400"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00" w:type="dxa"/>
              <w:bottom w:w="80" w:type="dxa"/>
              <w:right w:w="100" w:type="dxa"/>
            </w:tcMar>
          </w:tcPr>
          <w:p w14:paraId="7690A3A0" w14:textId="77777777" w:rsidR="00FF5C42" w:rsidRPr="004035CF" w:rsidRDefault="00C07C81" w:rsidP="008B2357">
            <w:pPr>
              <w:jc w:val="both"/>
            </w:pPr>
            <w:r w:rsidRPr="004035CF">
              <w:rPr>
                <w:rFonts w:eastAsia="Arial"/>
                <w:b/>
                <w:bCs/>
              </w:rPr>
              <w:t>Nominativa:</w:t>
            </w:r>
          </w:p>
          <w:p w14:paraId="7690A3A1" w14:textId="77777777" w:rsidR="00FF5C42" w:rsidRPr="004035CF" w:rsidRDefault="00C07C81" w:rsidP="008B2357">
            <w:pPr>
              <w:spacing w:before="10"/>
              <w:jc w:val="both"/>
            </w:pPr>
            <w:r w:rsidRPr="004035CF">
              <w:rPr>
                <w:rFonts w:eastAsia="Arial"/>
                <w:color w:val="70AD47"/>
              </w:rPr>
              <w:t>$2,615 MXN</w:t>
            </w:r>
          </w:p>
          <w:p w14:paraId="7690A3A2" w14:textId="77777777" w:rsidR="00FF5C42" w:rsidRPr="004035CF" w:rsidRDefault="00C07C81" w:rsidP="008B2357">
            <w:pPr>
              <w:spacing w:before="25"/>
              <w:jc w:val="both"/>
            </w:pPr>
            <w:r w:rsidRPr="004035CF">
              <w:rPr>
                <w:rFonts w:eastAsia="Arial"/>
                <w:b/>
                <w:bCs/>
              </w:rPr>
              <w:t>Innominada:</w:t>
            </w:r>
          </w:p>
          <w:p w14:paraId="7690A3A3" w14:textId="77777777" w:rsidR="00FF5C42" w:rsidRPr="004035CF" w:rsidRDefault="00C07C81" w:rsidP="008B2357">
            <w:pPr>
              <w:spacing w:before="10"/>
              <w:jc w:val="both"/>
            </w:pPr>
            <w:r w:rsidRPr="004035CF">
              <w:rPr>
                <w:rFonts w:eastAsia="Arial"/>
                <w:color w:val="70AD47"/>
              </w:rPr>
              <w:t>$3,595 MXN</w:t>
            </w:r>
          </w:p>
          <w:p w14:paraId="7690A3A4" w14:textId="77777777" w:rsidR="00FF5C42" w:rsidRPr="004035CF" w:rsidRDefault="00C07C81" w:rsidP="008B2357">
            <w:pPr>
              <w:spacing w:before="25"/>
              <w:jc w:val="both"/>
            </w:pPr>
            <w:r w:rsidRPr="004035CF">
              <w:rPr>
                <w:rFonts w:eastAsia="Arial"/>
                <w:b/>
                <w:bCs/>
              </w:rPr>
              <w:t>Mixta:</w:t>
            </w:r>
          </w:p>
          <w:p w14:paraId="7690A3A5" w14:textId="77777777" w:rsidR="00FF5C42" w:rsidRPr="004035CF" w:rsidRDefault="00C07C81" w:rsidP="008B2357">
            <w:pPr>
              <w:spacing w:before="10"/>
              <w:jc w:val="both"/>
            </w:pPr>
            <w:r w:rsidRPr="004035CF">
              <w:rPr>
                <w:rFonts w:eastAsia="Arial"/>
                <w:color w:val="70AD47"/>
              </w:rPr>
              <w:t>$4,865 MXN</w:t>
            </w:r>
          </w:p>
          <w:p w14:paraId="7690A3A6" w14:textId="77777777" w:rsidR="00FF5C42" w:rsidRPr="004035CF" w:rsidRDefault="00C07C81" w:rsidP="008B2357">
            <w:pPr>
              <w:spacing w:before="25"/>
              <w:jc w:val="both"/>
            </w:pPr>
            <w:r w:rsidRPr="004035CF">
              <w:rPr>
                <w:rFonts w:eastAsia="Arial"/>
                <w:b/>
                <w:bCs/>
              </w:rPr>
              <w:t>Tridimensional:</w:t>
            </w:r>
          </w:p>
          <w:p w14:paraId="7690A3A7" w14:textId="77777777" w:rsidR="00FF5C42" w:rsidRPr="004035CF" w:rsidRDefault="00C07C81" w:rsidP="008B2357">
            <w:pPr>
              <w:spacing w:before="10"/>
              <w:jc w:val="both"/>
            </w:pPr>
            <w:r w:rsidRPr="004035CF">
              <w:rPr>
                <w:rFonts w:eastAsia="Arial"/>
                <w:color w:val="70AD47"/>
              </w:rPr>
              <w:t>$4,195 MXN</w:t>
            </w:r>
          </w:p>
          <w:p w14:paraId="7690A3A8" w14:textId="77777777" w:rsidR="00FF5C42" w:rsidRPr="004035CF" w:rsidRDefault="00C07C81" w:rsidP="008B2357">
            <w:pPr>
              <w:spacing w:before="20"/>
              <w:jc w:val="both"/>
            </w:pPr>
            <w:r w:rsidRPr="004035CF">
              <w:rPr>
                <w:rFonts w:eastAsia="Arial"/>
                <w:i/>
                <w:iCs/>
                <w:color w:val="666666"/>
              </w:rPr>
              <w:t>Por clase adicional</w:t>
            </w:r>
          </w:p>
        </w:tc>
        <w:tc>
          <w:tcPr>
            <w:tcW w:w="2000"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00" w:type="dxa"/>
              <w:bottom w:w="80" w:type="dxa"/>
              <w:right w:w="100" w:type="dxa"/>
            </w:tcMar>
          </w:tcPr>
          <w:p w14:paraId="7690A3A9" w14:textId="77777777" w:rsidR="00FF5C42" w:rsidRPr="004035CF" w:rsidRDefault="00C07C81" w:rsidP="008B2357">
            <w:pPr>
              <w:jc w:val="both"/>
            </w:pPr>
            <w:r w:rsidRPr="004035CF">
              <w:rPr>
                <w:rFonts w:eastAsia="Arial"/>
                <w:b/>
                <w:bCs/>
                <w:color w:val="70AD47"/>
              </w:rPr>
              <w:t>4 a 6 meses</w:t>
            </w:r>
          </w:p>
          <w:p w14:paraId="7690A3AA" w14:textId="77777777" w:rsidR="00FF5C42" w:rsidRPr="004035CF" w:rsidRDefault="00C07C81" w:rsidP="008B2357">
            <w:pPr>
              <w:spacing w:before="30"/>
              <w:jc w:val="both"/>
            </w:pPr>
            <w:r w:rsidRPr="004035CF">
              <w:rPr>
                <w:rFonts w:eastAsia="Arial"/>
                <w:i/>
                <w:iCs/>
                <w:color w:val="666666"/>
              </w:rPr>
              <w:t>Si hay objeciones u oposiciones: 12+ meses</w:t>
            </w:r>
          </w:p>
        </w:tc>
        <w:tc>
          <w:tcPr>
            <w:tcW w:w="2000"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00" w:type="dxa"/>
              <w:bottom w:w="80" w:type="dxa"/>
              <w:right w:w="100" w:type="dxa"/>
            </w:tcMar>
          </w:tcPr>
          <w:p w14:paraId="7690A3AB" w14:textId="77777777" w:rsidR="00FF5C42" w:rsidRPr="004035CF" w:rsidRDefault="00C07C81" w:rsidP="008B2357">
            <w:pPr>
              <w:jc w:val="both"/>
            </w:pPr>
            <w:r w:rsidRPr="004035CF">
              <w:rPr>
                <w:rFonts w:eastAsia="Arial"/>
                <w:b/>
                <w:bCs/>
                <w:color w:val="70AD47"/>
              </w:rPr>
              <w:t>10 años</w:t>
            </w:r>
          </w:p>
          <w:p w14:paraId="7690A3AC" w14:textId="77777777" w:rsidR="00FF5C42" w:rsidRPr="004035CF" w:rsidRDefault="00C07C81" w:rsidP="008B2357">
            <w:pPr>
              <w:spacing w:before="30"/>
              <w:jc w:val="both"/>
            </w:pPr>
            <w:r w:rsidRPr="004035CF">
              <w:rPr>
                <w:rFonts w:eastAsia="Arial"/>
                <w:i/>
                <w:iCs/>
                <w:color w:val="555555"/>
              </w:rPr>
              <w:t>Renovable indefinidamente</w:t>
            </w:r>
          </w:p>
          <w:p w14:paraId="7690A3AD" w14:textId="77777777" w:rsidR="00FF5C42" w:rsidRPr="004035CF" w:rsidRDefault="00C07C81" w:rsidP="008B2357">
            <w:pPr>
              <w:spacing w:before="20"/>
              <w:jc w:val="both"/>
            </w:pPr>
            <w:r w:rsidRPr="004035CF">
              <w:rPr>
                <w:rFonts w:eastAsia="Arial"/>
                <w:i/>
                <w:iCs/>
                <w:color w:val="C00000"/>
              </w:rPr>
              <w:t>Declaración de uso efectivo en el 3er año</w:t>
            </w:r>
          </w:p>
        </w:tc>
      </w:tr>
      <w:tr w:rsidR="00FF5C42" w:rsidRPr="004035CF" w14:paraId="7690A3C5" w14:textId="77777777">
        <w:tc>
          <w:tcPr>
            <w:tcW w:w="2400"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00" w:type="dxa"/>
              <w:bottom w:w="80" w:type="dxa"/>
              <w:right w:w="100" w:type="dxa"/>
            </w:tcMar>
          </w:tcPr>
          <w:p w14:paraId="7690A3AF" w14:textId="77777777" w:rsidR="00FF5C42" w:rsidRPr="004035CF" w:rsidRDefault="00C07C81" w:rsidP="008B2357">
            <w:pPr>
              <w:jc w:val="both"/>
            </w:pPr>
            <w:r w:rsidRPr="004035CF">
              <w:rPr>
                <w:rFonts w:eastAsia="Arial"/>
                <w:b/>
                <w:bCs/>
                <w:color w:val="2E74B5"/>
              </w:rPr>
              <w:t>PATENTE DE INVENCIÓN</w:t>
            </w:r>
          </w:p>
        </w:tc>
        <w:tc>
          <w:tcPr>
            <w:tcW w:w="2800"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00" w:type="dxa"/>
              <w:bottom w:w="80" w:type="dxa"/>
              <w:right w:w="100" w:type="dxa"/>
            </w:tcMar>
          </w:tcPr>
          <w:p w14:paraId="7690A3B0" w14:textId="77777777" w:rsidR="00FF5C42" w:rsidRPr="004035CF" w:rsidRDefault="00C07C81" w:rsidP="008B2357">
            <w:pPr>
              <w:jc w:val="both"/>
            </w:pPr>
            <w:r w:rsidRPr="004035CF">
              <w:rPr>
                <w:rFonts w:eastAsia="Arial"/>
              </w:rPr>
              <w:t>Invenciones nuevas que resuelven un problema técnico de manera no obvia. Debe cumplir:</w:t>
            </w:r>
          </w:p>
          <w:p w14:paraId="7690A3B1" w14:textId="77777777" w:rsidR="00FF5C42" w:rsidRPr="004035CF" w:rsidRDefault="00C07C81" w:rsidP="008B2357">
            <w:pPr>
              <w:spacing w:before="20"/>
              <w:jc w:val="both"/>
            </w:pPr>
            <w:r w:rsidRPr="004035CF">
              <w:rPr>
                <w:rFonts w:eastAsia="Arial"/>
                <w:b/>
                <w:bCs/>
              </w:rPr>
              <w:t>• Novedad mundial</w:t>
            </w:r>
          </w:p>
          <w:p w14:paraId="7690A3B2" w14:textId="77777777" w:rsidR="00FF5C42" w:rsidRPr="004035CF" w:rsidRDefault="00C07C81" w:rsidP="008B2357">
            <w:pPr>
              <w:spacing w:before="10"/>
              <w:jc w:val="both"/>
            </w:pPr>
            <w:r w:rsidRPr="004035CF">
              <w:rPr>
                <w:rFonts w:eastAsia="Arial"/>
                <w:b/>
                <w:bCs/>
              </w:rPr>
              <w:t>• Actividad inventiva</w:t>
            </w:r>
          </w:p>
          <w:p w14:paraId="7690A3B3" w14:textId="77777777" w:rsidR="00FF5C42" w:rsidRPr="004035CF" w:rsidRDefault="00C07C81" w:rsidP="008B2357">
            <w:pPr>
              <w:spacing w:before="10"/>
              <w:jc w:val="both"/>
            </w:pPr>
            <w:r w:rsidRPr="004035CF">
              <w:rPr>
                <w:rFonts w:eastAsia="Arial"/>
                <w:b/>
                <w:bCs/>
              </w:rPr>
              <w:t>• Aplicación industrial</w:t>
            </w:r>
          </w:p>
        </w:tc>
        <w:tc>
          <w:tcPr>
            <w:tcW w:w="2800"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00" w:type="dxa"/>
              <w:bottom w:w="80" w:type="dxa"/>
              <w:right w:w="100" w:type="dxa"/>
            </w:tcMar>
          </w:tcPr>
          <w:p w14:paraId="7690A3B4" w14:textId="77777777" w:rsidR="00FF5C42" w:rsidRPr="004035CF" w:rsidRDefault="00C07C81" w:rsidP="008B2357">
            <w:pPr>
              <w:jc w:val="both"/>
            </w:pPr>
            <w:r w:rsidRPr="004035CF">
              <w:rPr>
                <w:rFonts w:eastAsia="Arial"/>
              </w:rPr>
              <w:t>• Descripción detallada</w:t>
            </w:r>
          </w:p>
          <w:p w14:paraId="7690A3B5" w14:textId="77777777" w:rsidR="00FF5C42" w:rsidRPr="004035CF" w:rsidRDefault="00C07C81" w:rsidP="008B2357">
            <w:pPr>
              <w:spacing w:before="15"/>
              <w:jc w:val="both"/>
            </w:pPr>
            <w:r w:rsidRPr="004035CF">
              <w:rPr>
                <w:rFonts w:eastAsia="Arial"/>
              </w:rPr>
              <w:t>• Reivindicaciones</w:t>
            </w:r>
          </w:p>
          <w:p w14:paraId="7690A3B6" w14:textId="77777777" w:rsidR="00FF5C42" w:rsidRPr="004035CF" w:rsidRDefault="00C07C81" w:rsidP="008B2357">
            <w:pPr>
              <w:spacing w:before="15"/>
              <w:jc w:val="both"/>
            </w:pPr>
            <w:r w:rsidRPr="004035CF">
              <w:rPr>
                <w:rFonts w:eastAsia="Arial"/>
              </w:rPr>
              <w:t>• Dibujos técnicos</w:t>
            </w:r>
          </w:p>
          <w:p w14:paraId="7690A3B7" w14:textId="77777777" w:rsidR="00FF5C42" w:rsidRPr="004035CF" w:rsidRDefault="00C07C81" w:rsidP="008B2357">
            <w:pPr>
              <w:spacing w:before="15"/>
              <w:jc w:val="both"/>
            </w:pPr>
            <w:r w:rsidRPr="004035CF">
              <w:rPr>
                <w:rFonts w:eastAsia="Arial"/>
              </w:rPr>
              <w:t>• Resumen</w:t>
            </w:r>
          </w:p>
          <w:p w14:paraId="7690A3B8" w14:textId="77777777" w:rsidR="00FF5C42" w:rsidRPr="004035CF" w:rsidRDefault="00C07C81" w:rsidP="008B2357">
            <w:pPr>
              <w:spacing w:before="15"/>
              <w:jc w:val="both"/>
            </w:pPr>
            <w:r w:rsidRPr="004035CF">
              <w:rPr>
                <w:rFonts w:eastAsia="Arial"/>
              </w:rPr>
              <w:t>• Búsqueda de anterioridad</w:t>
            </w:r>
          </w:p>
          <w:p w14:paraId="7690A3B9" w14:textId="77777777" w:rsidR="00FF5C42" w:rsidRPr="004035CF" w:rsidRDefault="00C07C81" w:rsidP="008B2357">
            <w:pPr>
              <w:spacing w:before="15"/>
              <w:jc w:val="both"/>
            </w:pPr>
            <w:r w:rsidRPr="004035CF">
              <w:rPr>
                <w:rFonts w:eastAsia="Arial"/>
              </w:rPr>
              <w:t>• Solicitud vía PASE</w:t>
            </w:r>
          </w:p>
          <w:p w14:paraId="7690A3BA" w14:textId="77777777" w:rsidR="00FF5C42" w:rsidRPr="004035CF" w:rsidRDefault="00C07C81" w:rsidP="008B2357">
            <w:pPr>
              <w:spacing w:before="15"/>
              <w:jc w:val="both"/>
            </w:pPr>
            <w:r w:rsidRPr="004035CF">
              <w:rPr>
                <w:rFonts w:eastAsia="Arial"/>
              </w:rPr>
              <w:t>• Comprobante de pago</w:t>
            </w:r>
          </w:p>
        </w:tc>
        <w:tc>
          <w:tcPr>
            <w:tcW w:w="2400"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00" w:type="dxa"/>
              <w:bottom w:w="80" w:type="dxa"/>
              <w:right w:w="100" w:type="dxa"/>
            </w:tcMar>
          </w:tcPr>
          <w:p w14:paraId="7690A3BB" w14:textId="77777777" w:rsidR="00FF5C42" w:rsidRPr="004035CF" w:rsidRDefault="00C07C81" w:rsidP="008B2357">
            <w:pPr>
              <w:jc w:val="both"/>
            </w:pPr>
            <w:r w:rsidRPr="004035CF">
              <w:rPr>
                <w:rFonts w:eastAsia="Arial"/>
                <w:b/>
                <w:bCs/>
              </w:rPr>
              <w:t>Solicitud:</w:t>
            </w:r>
          </w:p>
          <w:p w14:paraId="7690A3BC" w14:textId="77777777" w:rsidR="00FF5C42" w:rsidRPr="004035CF" w:rsidRDefault="00C07C81" w:rsidP="008B2357">
            <w:pPr>
              <w:spacing w:before="10"/>
              <w:jc w:val="both"/>
            </w:pPr>
            <w:r w:rsidRPr="004035CF">
              <w:rPr>
                <w:rFonts w:eastAsia="Arial"/>
                <w:color w:val="2E74B5"/>
              </w:rPr>
              <w:t>$5,278 MXN</w:t>
            </w:r>
          </w:p>
          <w:p w14:paraId="7690A3BD" w14:textId="77777777" w:rsidR="00FF5C42" w:rsidRPr="004035CF" w:rsidRDefault="00C07C81" w:rsidP="008B2357">
            <w:pPr>
              <w:spacing w:before="30"/>
              <w:jc w:val="both"/>
            </w:pPr>
            <w:r w:rsidRPr="004035CF">
              <w:rPr>
                <w:rFonts w:eastAsia="Arial"/>
                <w:i/>
                <w:iCs/>
                <w:color w:val="666666"/>
              </w:rPr>
              <w:t>+ Anualidades de mantenimiento (variables según año)</w:t>
            </w:r>
          </w:p>
          <w:p w14:paraId="7690A3BE" w14:textId="77777777" w:rsidR="00FF5C42" w:rsidRPr="004035CF" w:rsidRDefault="00C07C81" w:rsidP="008B2357">
            <w:pPr>
              <w:spacing w:before="30"/>
              <w:jc w:val="both"/>
            </w:pPr>
            <w:r w:rsidRPr="004035CF">
              <w:rPr>
                <w:rFonts w:eastAsia="Arial"/>
                <w:b/>
                <w:bCs/>
              </w:rPr>
              <w:t>Descuento 50% para:</w:t>
            </w:r>
          </w:p>
          <w:p w14:paraId="7690A3BF" w14:textId="77777777" w:rsidR="00FF5C42" w:rsidRPr="004035CF" w:rsidRDefault="00C07C81" w:rsidP="008B2357">
            <w:pPr>
              <w:spacing w:before="10"/>
              <w:jc w:val="both"/>
            </w:pPr>
            <w:r w:rsidRPr="004035CF">
              <w:rPr>
                <w:rFonts w:eastAsia="Arial"/>
                <w:color w:val="555555"/>
              </w:rPr>
              <w:t>• Personas físicas • Micro/pequeñas empresas • Universidades e IES</w:t>
            </w:r>
          </w:p>
        </w:tc>
        <w:tc>
          <w:tcPr>
            <w:tcW w:w="2000"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00" w:type="dxa"/>
              <w:bottom w:w="80" w:type="dxa"/>
              <w:right w:w="100" w:type="dxa"/>
            </w:tcMar>
          </w:tcPr>
          <w:p w14:paraId="7690A3C0" w14:textId="77777777" w:rsidR="00FF5C42" w:rsidRPr="004035CF" w:rsidRDefault="00C07C81" w:rsidP="008B2357">
            <w:pPr>
              <w:jc w:val="both"/>
            </w:pPr>
            <w:r w:rsidRPr="004035CF">
              <w:rPr>
                <w:rFonts w:eastAsia="Arial"/>
                <w:b/>
                <w:bCs/>
                <w:color w:val="2E74B5"/>
              </w:rPr>
              <w:t>2 a 4 años</w:t>
            </w:r>
          </w:p>
          <w:p w14:paraId="7690A3C1" w14:textId="77777777" w:rsidR="00FF5C42" w:rsidRPr="004035CF" w:rsidRDefault="00C07C81" w:rsidP="008B2357">
            <w:pPr>
              <w:spacing w:before="30"/>
              <w:jc w:val="both"/>
            </w:pPr>
            <w:r w:rsidRPr="004035CF">
              <w:rPr>
                <w:rFonts w:eastAsia="Arial"/>
                <w:i/>
                <w:iCs/>
                <w:color w:val="666666"/>
              </w:rPr>
              <w:t>Meta reducida a 4 años (reforma en proceso)</w:t>
            </w:r>
          </w:p>
        </w:tc>
        <w:tc>
          <w:tcPr>
            <w:tcW w:w="2000"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00" w:type="dxa"/>
              <w:bottom w:w="80" w:type="dxa"/>
              <w:right w:w="100" w:type="dxa"/>
            </w:tcMar>
          </w:tcPr>
          <w:p w14:paraId="7690A3C2" w14:textId="77777777" w:rsidR="00FF5C42" w:rsidRPr="004035CF" w:rsidRDefault="00C07C81" w:rsidP="008B2357">
            <w:pPr>
              <w:jc w:val="both"/>
            </w:pPr>
            <w:r w:rsidRPr="004035CF">
              <w:rPr>
                <w:rFonts w:eastAsia="Arial"/>
                <w:b/>
                <w:bCs/>
                <w:color w:val="2E74B5"/>
              </w:rPr>
              <w:t>20 años</w:t>
            </w:r>
          </w:p>
          <w:p w14:paraId="7690A3C3" w14:textId="77777777" w:rsidR="00FF5C42" w:rsidRPr="004035CF" w:rsidRDefault="00C07C81" w:rsidP="008B2357">
            <w:pPr>
              <w:spacing w:before="30"/>
              <w:jc w:val="both"/>
            </w:pPr>
            <w:r w:rsidRPr="004035CF">
              <w:rPr>
                <w:rFonts w:eastAsia="Arial"/>
                <w:i/>
                <w:iCs/>
                <w:color w:val="555555"/>
              </w:rPr>
              <w:t>Desde la fecha de presentación</w:t>
            </w:r>
          </w:p>
          <w:p w14:paraId="7690A3C4" w14:textId="77777777" w:rsidR="00FF5C42" w:rsidRPr="004035CF" w:rsidRDefault="00C07C81" w:rsidP="008B2357">
            <w:pPr>
              <w:spacing w:before="20"/>
              <w:jc w:val="both"/>
            </w:pPr>
            <w:r w:rsidRPr="004035CF">
              <w:rPr>
                <w:rFonts w:eastAsia="Arial"/>
                <w:color w:val="C00000"/>
              </w:rPr>
              <w:t>No renovable</w:t>
            </w:r>
          </w:p>
        </w:tc>
      </w:tr>
      <w:tr w:rsidR="00FF5C42" w:rsidRPr="004035CF" w14:paraId="7690A3D7" w14:textId="77777777">
        <w:tc>
          <w:tcPr>
            <w:tcW w:w="2400"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00" w:type="dxa"/>
              <w:bottom w:w="80" w:type="dxa"/>
              <w:right w:w="100" w:type="dxa"/>
            </w:tcMar>
          </w:tcPr>
          <w:p w14:paraId="7690A3C6" w14:textId="77777777" w:rsidR="00FF5C42" w:rsidRPr="004035CF" w:rsidRDefault="00C07C81" w:rsidP="008B2357">
            <w:pPr>
              <w:jc w:val="both"/>
            </w:pPr>
            <w:r w:rsidRPr="004035CF">
              <w:rPr>
                <w:rFonts w:eastAsia="Arial"/>
                <w:b/>
                <w:bCs/>
                <w:color w:val="ED7D31"/>
              </w:rPr>
              <w:lastRenderedPageBreak/>
              <w:t>MODELO DE UTILIDAD</w:t>
            </w:r>
          </w:p>
        </w:tc>
        <w:tc>
          <w:tcPr>
            <w:tcW w:w="2800"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00" w:type="dxa"/>
              <w:bottom w:w="80" w:type="dxa"/>
              <w:right w:w="100" w:type="dxa"/>
            </w:tcMar>
          </w:tcPr>
          <w:p w14:paraId="7690A3C7" w14:textId="77777777" w:rsidR="00FF5C42" w:rsidRPr="004035CF" w:rsidRDefault="00C07C81" w:rsidP="008B2357">
            <w:pPr>
              <w:jc w:val="both"/>
            </w:pPr>
            <w:r w:rsidRPr="004035CF">
              <w:rPr>
                <w:rFonts w:eastAsia="Arial"/>
              </w:rPr>
              <w:t>Mejoras o modificaciones a objetos conocidos que ofrecen ventajas en su función o utilidad. Requisitos más flexibles que patente de invención.</w:t>
            </w:r>
          </w:p>
          <w:p w14:paraId="7690A3C8" w14:textId="77777777" w:rsidR="00FF5C42" w:rsidRPr="004035CF" w:rsidRDefault="00C07C81" w:rsidP="008B2357">
            <w:pPr>
              <w:spacing w:before="20"/>
              <w:jc w:val="both"/>
            </w:pPr>
            <w:r w:rsidRPr="004035CF">
              <w:rPr>
                <w:rFonts w:eastAsia="Arial"/>
                <w:i/>
                <w:iCs/>
                <w:color w:val="555555"/>
              </w:rPr>
              <w:t>Ejemplo: nueva forma de bisagra, herramienta con mango ergonómico mejorado</w:t>
            </w:r>
          </w:p>
        </w:tc>
        <w:tc>
          <w:tcPr>
            <w:tcW w:w="2800"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00" w:type="dxa"/>
              <w:bottom w:w="80" w:type="dxa"/>
              <w:right w:w="100" w:type="dxa"/>
            </w:tcMar>
          </w:tcPr>
          <w:p w14:paraId="7690A3C9" w14:textId="77777777" w:rsidR="00FF5C42" w:rsidRPr="004035CF" w:rsidRDefault="00C07C81" w:rsidP="008B2357">
            <w:pPr>
              <w:jc w:val="both"/>
            </w:pPr>
            <w:r w:rsidRPr="004035CF">
              <w:rPr>
                <w:rFonts w:eastAsia="Arial"/>
                <w:b/>
                <w:bCs/>
              </w:rPr>
              <w:t>Similares a patente de invención:</w:t>
            </w:r>
          </w:p>
          <w:p w14:paraId="7690A3CA" w14:textId="77777777" w:rsidR="00FF5C42" w:rsidRPr="004035CF" w:rsidRDefault="00C07C81" w:rsidP="008B2357">
            <w:pPr>
              <w:spacing w:before="15"/>
              <w:jc w:val="both"/>
            </w:pPr>
            <w:r w:rsidRPr="004035CF">
              <w:rPr>
                <w:rFonts w:eastAsia="Arial"/>
              </w:rPr>
              <w:t>• Descripción</w:t>
            </w:r>
          </w:p>
          <w:p w14:paraId="7690A3CB" w14:textId="77777777" w:rsidR="00FF5C42" w:rsidRPr="004035CF" w:rsidRDefault="00C07C81" w:rsidP="008B2357">
            <w:pPr>
              <w:spacing w:before="10"/>
              <w:jc w:val="both"/>
            </w:pPr>
            <w:r w:rsidRPr="004035CF">
              <w:rPr>
                <w:rFonts w:eastAsia="Arial"/>
              </w:rPr>
              <w:t>• Reivindicaciones</w:t>
            </w:r>
          </w:p>
          <w:p w14:paraId="7690A3CC" w14:textId="77777777" w:rsidR="00FF5C42" w:rsidRPr="004035CF" w:rsidRDefault="00C07C81" w:rsidP="008B2357">
            <w:pPr>
              <w:spacing w:before="10"/>
              <w:jc w:val="both"/>
            </w:pPr>
            <w:r w:rsidRPr="004035CF">
              <w:rPr>
                <w:rFonts w:eastAsia="Arial"/>
              </w:rPr>
              <w:t>• Dibujos técnicos</w:t>
            </w:r>
          </w:p>
          <w:p w14:paraId="7690A3CD" w14:textId="77777777" w:rsidR="00FF5C42" w:rsidRPr="004035CF" w:rsidRDefault="00C07C81" w:rsidP="008B2357">
            <w:pPr>
              <w:spacing w:before="10"/>
              <w:jc w:val="both"/>
            </w:pPr>
            <w:r w:rsidRPr="004035CF">
              <w:rPr>
                <w:rFonts w:eastAsia="Arial"/>
              </w:rPr>
              <w:t>• Solicitud PASE + pago</w:t>
            </w:r>
          </w:p>
          <w:p w14:paraId="7690A3CE" w14:textId="77777777" w:rsidR="00FF5C42" w:rsidRPr="004035CF" w:rsidRDefault="00C07C81" w:rsidP="008B2357">
            <w:pPr>
              <w:spacing w:before="20"/>
              <w:jc w:val="both"/>
            </w:pPr>
            <w:r w:rsidRPr="004035CF">
              <w:rPr>
                <w:rFonts w:eastAsia="Arial"/>
                <w:i/>
                <w:iCs/>
                <w:color w:val="555555"/>
              </w:rPr>
              <w:t>No requiere actividad inventiva tan rigurosa</w:t>
            </w:r>
          </w:p>
        </w:tc>
        <w:tc>
          <w:tcPr>
            <w:tcW w:w="2400"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00" w:type="dxa"/>
              <w:bottom w:w="80" w:type="dxa"/>
              <w:right w:w="100" w:type="dxa"/>
            </w:tcMar>
          </w:tcPr>
          <w:p w14:paraId="7690A3CF" w14:textId="77777777" w:rsidR="00FF5C42" w:rsidRPr="004035CF" w:rsidRDefault="00C07C81" w:rsidP="008B2357">
            <w:pPr>
              <w:jc w:val="both"/>
            </w:pPr>
            <w:r w:rsidRPr="004035CF">
              <w:rPr>
                <w:rFonts w:eastAsia="Arial"/>
                <w:b/>
                <w:bCs/>
              </w:rPr>
              <w:t>Solicitud:</w:t>
            </w:r>
          </w:p>
          <w:p w14:paraId="7690A3D0" w14:textId="77777777" w:rsidR="00FF5C42" w:rsidRPr="004035CF" w:rsidRDefault="00C07C81" w:rsidP="008B2357">
            <w:pPr>
              <w:spacing w:before="10"/>
              <w:jc w:val="both"/>
            </w:pPr>
            <w:r w:rsidRPr="004035CF">
              <w:rPr>
                <w:rFonts w:eastAsia="Arial"/>
                <w:color w:val="ED7D31"/>
              </w:rPr>
              <w:t>$2,320 MXN</w:t>
            </w:r>
          </w:p>
          <w:p w14:paraId="7690A3D1" w14:textId="77777777" w:rsidR="00FF5C42" w:rsidRPr="004035CF" w:rsidRDefault="00C07C81" w:rsidP="008B2357">
            <w:pPr>
              <w:spacing w:before="30"/>
              <w:jc w:val="both"/>
            </w:pPr>
            <w:r w:rsidRPr="004035CF">
              <w:rPr>
                <w:rFonts w:eastAsia="Arial"/>
                <w:i/>
                <w:iCs/>
                <w:color w:val="666666"/>
              </w:rPr>
              <w:t>+ Anualidades de mantenimiento</w:t>
            </w:r>
          </w:p>
          <w:p w14:paraId="7690A3D2" w14:textId="77777777" w:rsidR="00FF5C42" w:rsidRPr="004035CF" w:rsidRDefault="00C07C81" w:rsidP="008B2357">
            <w:pPr>
              <w:spacing w:before="30"/>
              <w:jc w:val="both"/>
            </w:pPr>
            <w:r w:rsidRPr="004035CF">
              <w:rPr>
                <w:rFonts w:eastAsia="Arial"/>
                <w:color w:val="555555"/>
              </w:rPr>
              <w:t>Descuento 50% disponible (mismo criterio que patente)</w:t>
            </w:r>
          </w:p>
        </w:tc>
        <w:tc>
          <w:tcPr>
            <w:tcW w:w="2000"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00" w:type="dxa"/>
              <w:bottom w:w="80" w:type="dxa"/>
              <w:right w:w="100" w:type="dxa"/>
            </w:tcMar>
          </w:tcPr>
          <w:p w14:paraId="7690A3D3" w14:textId="77777777" w:rsidR="00FF5C42" w:rsidRPr="004035CF" w:rsidRDefault="00C07C81" w:rsidP="008B2357">
            <w:pPr>
              <w:jc w:val="both"/>
            </w:pPr>
            <w:r w:rsidRPr="004035CF">
              <w:rPr>
                <w:rFonts w:eastAsia="Arial"/>
                <w:b/>
                <w:bCs/>
                <w:color w:val="ED7D31"/>
              </w:rPr>
              <w:t>1.5 a 3 años</w:t>
            </w:r>
          </w:p>
          <w:p w14:paraId="7690A3D4" w14:textId="77777777" w:rsidR="00FF5C42" w:rsidRPr="004035CF" w:rsidRDefault="00C07C81" w:rsidP="008B2357">
            <w:pPr>
              <w:spacing w:before="30"/>
              <w:jc w:val="both"/>
            </w:pPr>
            <w:r w:rsidRPr="004035CF">
              <w:rPr>
                <w:rFonts w:eastAsia="Arial"/>
                <w:i/>
                <w:iCs/>
                <w:color w:val="666666"/>
              </w:rPr>
              <w:t>Meta reducida a 4 años (reforma)</w:t>
            </w:r>
          </w:p>
        </w:tc>
        <w:tc>
          <w:tcPr>
            <w:tcW w:w="2000"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00" w:type="dxa"/>
              <w:bottom w:w="80" w:type="dxa"/>
              <w:right w:w="100" w:type="dxa"/>
            </w:tcMar>
          </w:tcPr>
          <w:p w14:paraId="7690A3D5" w14:textId="77777777" w:rsidR="00FF5C42" w:rsidRPr="004035CF" w:rsidRDefault="00C07C81" w:rsidP="008B2357">
            <w:pPr>
              <w:jc w:val="both"/>
            </w:pPr>
            <w:r w:rsidRPr="004035CF">
              <w:rPr>
                <w:rFonts w:eastAsia="Arial"/>
                <w:b/>
                <w:bCs/>
                <w:color w:val="ED7D31"/>
              </w:rPr>
              <w:t>15 años</w:t>
            </w:r>
          </w:p>
          <w:p w14:paraId="7690A3D6" w14:textId="77777777" w:rsidR="00FF5C42" w:rsidRPr="004035CF" w:rsidRDefault="00C07C81" w:rsidP="008B2357">
            <w:pPr>
              <w:spacing w:before="30"/>
              <w:jc w:val="both"/>
            </w:pPr>
            <w:r w:rsidRPr="004035CF">
              <w:rPr>
                <w:rFonts w:eastAsia="Arial"/>
                <w:i/>
                <w:iCs/>
                <w:color w:val="555555"/>
              </w:rPr>
              <w:t>Desde la fecha de presentación (antes eran 10 años)</w:t>
            </w:r>
          </w:p>
        </w:tc>
      </w:tr>
      <w:tr w:rsidR="00FF5C42" w:rsidRPr="004035CF" w14:paraId="7690A3EB" w14:textId="77777777">
        <w:tc>
          <w:tcPr>
            <w:tcW w:w="2400"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00" w:type="dxa"/>
              <w:bottom w:w="80" w:type="dxa"/>
              <w:right w:w="100" w:type="dxa"/>
            </w:tcMar>
          </w:tcPr>
          <w:p w14:paraId="7690A3D8" w14:textId="77777777" w:rsidR="00FF5C42" w:rsidRPr="004035CF" w:rsidRDefault="00C07C81" w:rsidP="008B2357">
            <w:pPr>
              <w:jc w:val="both"/>
            </w:pPr>
            <w:r w:rsidRPr="004035CF">
              <w:rPr>
                <w:rFonts w:eastAsia="Arial"/>
                <w:b/>
                <w:bCs/>
                <w:color w:val="7030A0"/>
              </w:rPr>
              <w:t>DISEÑO INDUSTRIAL</w:t>
            </w:r>
          </w:p>
        </w:tc>
        <w:tc>
          <w:tcPr>
            <w:tcW w:w="2800"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00" w:type="dxa"/>
              <w:bottom w:w="80" w:type="dxa"/>
              <w:right w:w="100" w:type="dxa"/>
            </w:tcMar>
          </w:tcPr>
          <w:p w14:paraId="7690A3D9" w14:textId="77777777" w:rsidR="00FF5C42" w:rsidRPr="004035CF" w:rsidRDefault="00C07C81" w:rsidP="008B2357">
            <w:pPr>
              <w:jc w:val="both"/>
            </w:pPr>
            <w:r w:rsidRPr="004035CF">
              <w:rPr>
                <w:rFonts w:eastAsia="Arial"/>
              </w:rPr>
              <w:t>La apariencia estética u ornamental de un producto (forma, configuración, ornamentación). NO protege función técnica.</w:t>
            </w:r>
          </w:p>
          <w:p w14:paraId="7690A3DA" w14:textId="77777777" w:rsidR="00FF5C42" w:rsidRPr="004035CF" w:rsidRDefault="00C07C81" w:rsidP="008B2357">
            <w:pPr>
              <w:spacing w:before="20"/>
              <w:jc w:val="both"/>
            </w:pPr>
            <w:r w:rsidRPr="004035CF">
              <w:rPr>
                <w:rFonts w:eastAsia="Arial"/>
                <w:i/>
                <w:iCs/>
                <w:color w:val="555555"/>
              </w:rPr>
              <w:t>Ejemplo: forma de silla, patrón de textil, aspecto de lámpara, diseño de botella</w:t>
            </w:r>
          </w:p>
        </w:tc>
        <w:tc>
          <w:tcPr>
            <w:tcW w:w="2800"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00" w:type="dxa"/>
              <w:bottom w:w="80" w:type="dxa"/>
              <w:right w:w="100" w:type="dxa"/>
            </w:tcMar>
          </w:tcPr>
          <w:p w14:paraId="7690A3DB" w14:textId="77777777" w:rsidR="00FF5C42" w:rsidRPr="004035CF" w:rsidRDefault="00C07C81" w:rsidP="008B2357">
            <w:pPr>
              <w:jc w:val="both"/>
            </w:pPr>
            <w:r w:rsidRPr="004035CF">
              <w:rPr>
                <w:rFonts w:eastAsia="Arial"/>
              </w:rPr>
              <w:t>• Dibujos o fotografías</w:t>
            </w:r>
          </w:p>
          <w:p w14:paraId="7690A3DC" w14:textId="77777777" w:rsidR="00FF5C42" w:rsidRPr="004035CF" w:rsidRDefault="00C07C81" w:rsidP="008B2357">
            <w:pPr>
              <w:spacing w:before="15"/>
              <w:jc w:val="both"/>
            </w:pPr>
            <w:r w:rsidRPr="004035CF">
              <w:rPr>
                <w:rFonts w:eastAsia="Arial"/>
              </w:rPr>
              <w:t>• Descripción del diseño</w:t>
            </w:r>
          </w:p>
          <w:p w14:paraId="7690A3DD" w14:textId="77777777" w:rsidR="00FF5C42" w:rsidRPr="004035CF" w:rsidRDefault="00C07C81" w:rsidP="008B2357">
            <w:pPr>
              <w:spacing w:before="15"/>
              <w:jc w:val="both"/>
            </w:pPr>
            <w:r w:rsidRPr="004035CF">
              <w:rPr>
                <w:rFonts w:eastAsia="Arial"/>
              </w:rPr>
              <w:t>• Vistas múltiples (6 planos)</w:t>
            </w:r>
          </w:p>
          <w:p w14:paraId="7690A3DE" w14:textId="77777777" w:rsidR="00FF5C42" w:rsidRPr="004035CF" w:rsidRDefault="00C07C81" w:rsidP="008B2357">
            <w:pPr>
              <w:spacing w:before="15"/>
              <w:jc w:val="both"/>
            </w:pPr>
            <w:r w:rsidRPr="004035CF">
              <w:rPr>
                <w:rFonts w:eastAsia="Arial"/>
              </w:rPr>
              <w:t>• Perspectiva isométrica</w:t>
            </w:r>
          </w:p>
          <w:p w14:paraId="7690A3DF" w14:textId="77777777" w:rsidR="00FF5C42" w:rsidRPr="004035CF" w:rsidRDefault="00C07C81" w:rsidP="008B2357">
            <w:pPr>
              <w:spacing w:before="15"/>
              <w:jc w:val="both"/>
            </w:pPr>
            <w:r w:rsidRPr="004035CF">
              <w:rPr>
                <w:rFonts w:eastAsia="Arial"/>
              </w:rPr>
              <w:t>• Solicitud PASE + pago</w:t>
            </w:r>
          </w:p>
          <w:p w14:paraId="7690A3E0" w14:textId="77777777" w:rsidR="00FF5C42" w:rsidRPr="004035CF" w:rsidRDefault="00C07C81" w:rsidP="008B2357">
            <w:pPr>
              <w:spacing w:before="20"/>
              <w:jc w:val="both"/>
            </w:pPr>
            <w:r w:rsidRPr="004035CF">
              <w:rPr>
                <w:rFonts w:eastAsia="Arial"/>
                <w:i/>
                <w:iCs/>
                <w:color w:val="555555"/>
              </w:rPr>
              <w:t>Puede registrar hasta 100 diseños en una solicitud</w:t>
            </w:r>
          </w:p>
        </w:tc>
        <w:tc>
          <w:tcPr>
            <w:tcW w:w="2400"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00" w:type="dxa"/>
              <w:bottom w:w="80" w:type="dxa"/>
              <w:right w:w="100" w:type="dxa"/>
            </w:tcMar>
          </w:tcPr>
          <w:p w14:paraId="7690A3E1" w14:textId="77777777" w:rsidR="00FF5C42" w:rsidRPr="004035CF" w:rsidRDefault="00C07C81" w:rsidP="008B2357">
            <w:pPr>
              <w:jc w:val="both"/>
            </w:pPr>
            <w:r w:rsidRPr="004035CF">
              <w:rPr>
                <w:rFonts w:eastAsia="Arial"/>
                <w:b/>
                <w:bCs/>
              </w:rPr>
              <w:t>Solicitud:</w:t>
            </w:r>
          </w:p>
          <w:p w14:paraId="7690A3E2" w14:textId="77777777" w:rsidR="00FF5C42" w:rsidRPr="004035CF" w:rsidRDefault="00C07C81" w:rsidP="008B2357">
            <w:pPr>
              <w:spacing w:before="10"/>
              <w:jc w:val="both"/>
            </w:pPr>
            <w:r w:rsidRPr="004035CF">
              <w:rPr>
                <w:rFonts w:eastAsia="Arial"/>
                <w:color w:val="7030A0"/>
              </w:rPr>
              <w:t>$2,320 MXN</w:t>
            </w:r>
          </w:p>
          <w:p w14:paraId="7690A3E3" w14:textId="77777777" w:rsidR="00FF5C42" w:rsidRPr="004035CF" w:rsidRDefault="00C07C81" w:rsidP="008B2357">
            <w:pPr>
              <w:spacing w:before="20"/>
              <w:jc w:val="both"/>
            </w:pPr>
            <w:r w:rsidRPr="004035CF">
              <w:rPr>
                <w:rFonts w:eastAsia="Arial"/>
                <w:i/>
                <w:iCs/>
                <w:color w:val="666666"/>
              </w:rPr>
              <w:t>(1 diseño)</w:t>
            </w:r>
          </w:p>
          <w:p w14:paraId="7690A3E4" w14:textId="77777777" w:rsidR="00FF5C42" w:rsidRPr="004035CF" w:rsidRDefault="00C07C81" w:rsidP="008B2357">
            <w:pPr>
              <w:spacing w:before="30"/>
              <w:jc w:val="both"/>
            </w:pPr>
            <w:r w:rsidRPr="004035CF">
              <w:rPr>
                <w:rFonts w:eastAsia="Arial"/>
                <w:color w:val="555555"/>
              </w:rPr>
              <w:t>Diseños adicionales (2-6): costo incremental</w:t>
            </w:r>
          </w:p>
          <w:p w14:paraId="7690A3E5" w14:textId="77777777" w:rsidR="00FF5C42" w:rsidRPr="004035CF" w:rsidRDefault="00C07C81" w:rsidP="008B2357">
            <w:pPr>
              <w:spacing w:before="20"/>
              <w:jc w:val="both"/>
            </w:pPr>
            <w:r w:rsidRPr="004035CF">
              <w:rPr>
                <w:rFonts w:eastAsia="Arial"/>
                <w:color w:val="555555"/>
              </w:rPr>
              <w:t>Diseños 7-10+: tarifas progresivas</w:t>
            </w:r>
          </w:p>
        </w:tc>
        <w:tc>
          <w:tcPr>
            <w:tcW w:w="2000"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00" w:type="dxa"/>
              <w:bottom w:w="80" w:type="dxa"/>
              <w:right w:w="100" w:type="dxa"/>
            </w:tcMar>
          </w:tcPr>
          <w:p w14:paraId="7690A3E6" w14:textId="77777777" w:rsidR="00FF5C42" w:rsidRPr="004035CF" w:rsidRDefault="00C07C81" w:rsidP="008B2357">
            <w:pPr>
              <w:jc w:val="both"/>
            </w:pPr>
            <w:r w:rsidRPr="004035CF">
              <w:rPr>
                <w:rFonts w:eastAsia="Arial"/>
                <w:b/>
                <w:bCs/>
                <w:color w:val="7030A0"/>
              </w:rPr>
              <w:t>6 a 12 meses</w:t>
            </w:r>
          </w:p>
          <w:p w14:paraId="7690A3E7" w14:textId="77777777" w:rsidR="00FF5C42" w:rsidRPr="004035CF" w:rsidRDefault="00C07C81" w:rsidP="008B2357">
            <w:pPr>
              <w:spacing w:before="30"/>
              <w:jc w:val="both"/>
            </w:pPr>
            <w:r w:rsidRPr="004035CF">
              <w:rPr>
                <w:rFonts w:eastAsia="Arial"/>
                <w:i/>
                <w:iCs/>
                <w:color w:val="666666"/>
              </w:rPr>
              <w:t>Meta reducida a 2 años (reforma)</w:t>
            </w:r>
          </w:p>
        </w:tc>
        <w:tc>
          <w:tcPr>
            <w:tcW w:w="2000"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00" w:type="dxa"/>
              <w:bottom w:w="80" w:type="dxa"/>
              <w:right w:w="100" w:type="dxa"/>
            </w:tcMar>
          </w:tcPr>
          <w:p w14:paraId="7690A3E8" w14:textId="77777777" w:rsidR="00FF5C42" w:rsidRPr="004035CF" w:rsidRDefault="00C07C81" w:rsidP="008B2357">
            <w:pPr>
              <w:jc w:val="both"/>
            </w:pPr>
            <w:r w:rsidRPr="004035CF">
              <w:rPr>
                <w:rFonts w:eastAsia="Arial"/>
                <w:b/>
                <w:bCs/>
                <w:color w:val="7030A0"/>
              </w:rPr>
              <w:t>5 años</w:t>
            </w:r>
          </w:p>
          <w:p w14:paraId="7690A3E9" w14:textId="77777777" w:rsidR="00FF5C42" w:rsidRPr="004035CF" w:rsidRDefault="00C07C81" w:rsidP="008B2357">
            <w:pPr>
              <w:spacing w:before="30"/>
              <w:jc w:val="both"/>
            </w:pPr>
            <w:r w:rsidRPr="004035CF">
              <w:rPr>
                <w:rFonts w:eastAsia="Arial"/>
                <w:i/>
                <w:iCs/>
                <w:color w:val="555555"/>
              </w:rPr>
              <w:t>Renovable por periodos de 5 años</w:t>
            </w:r>
          </w:p>
          <w:p w14:paraId="7690A3EA" w14:textId="77777777" w:rsidR="00FF5C42" w:rsidRPr="004035CF" w:rsidRDefault="00C07C81" w:rsidP="008B2357">
            <w:pPr>
              <w:spacing w:before="20"/>
              <w:jc w:val="both"/>
            </w:pPr>
            <w:r w:rsidRPr="004035CF">
              <w:rPr>
                <w:rFonts w:eastAsia="Arial"/>
                <w:color w:val="7030A0"/>
              </w:rPr>
              <w:t>Hasta 25 años máximo</w:t>
            </w:r>
          </w:p>
        </w:tc>
      </w:tr>
    </w:tbl>
    <w:p w14:paraId="7690A3EC" w14:textId="77777777" w:rsidR="00FF5C42" w:rsidRPr="004035CF" w:rsidRDefault="00FF5C42" w:rsidP="008B2357">
      <w:pPr>
        <w:spacing w:before="140" w:after="60"/>
        <w:jc w:val="both"/>
      </w:pPr>
    </w:p>
    <w:tbl>
      <w:tblPr>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0"/>
      </w:tblGrid>
      <w:tr w:rsidR="00FF5C42" w:rsidRPr="004035CF" w14:paraId="7690A404" w14:textId="77777777">
        <w:tc>
          <w:tcPr>
            <w:tcW w:w="14400" w:type="dxa"/>
            <w:tcBorders>
              <w:top w:val="single" w:sz="1" w:space="0" w:color="999999"/>
              <w:left w:val="single" w:sz="1" w:space="0" w:color="999999"/>
              <w:bottom w:val="single" w:sz="1" w:space="0" w:color="999999"/>
              <w:right w:val="single" w:sz="1" w:space="0" w:color="999999"/>
            </w:tcBorders>
            <w:shd w:val="clear" w:color="FFFFFF" w:fill="F2F2F2"/>
            <w:tcMar>
              <w:top w:w="100" w:type="dxa"/>
              <w:left w:w="160" w:type="dxa"/>
              <w:bottom w:w="100" w:type="dxa"/>
              <w:right w:w="160" w:type="dxa"/>
            </w:tcMar>
          </w:tcPr>
          <w:p w14:paraId="7690A3ED" w14:textId="77777777" w:rsidR="00FF5C42" w:rsidRPr="004035CF" w:rsidRDefault="00C07C81" w:rsidP="008B2357">
            <w:pPr>
              <w:jc w:val="both"/>
            </w:pPr>
            <w:r w:rsidRPr="004035CF">
              <w:rPr>
                <w:rFonts w:eastAsia="Arial"/>
                <w:b/>
                <w:bCs/>
                <w:color w:val="2E74B5"/>
              </w:rPr>
              <w:t>NOTAS IMPORTANTES:</w:t>
            </w:r>
          </w:p>
          <w:p w14:paraId="7690A3EE" w14:textId="77777777" w:rsidR="00FF5C42" w:rsidRPr="004035CF" w:rsidRDefault="00C07C81" w:rsidP="008B2357">
            <w:pPr>
              <w:spacing w:before="50"/>
              <w:jc w:val="both"/>
            </w:pPr>
            <w:r w:rsidRPr="004035CF">
              <w:rPr>
                <w:rFonts w:eastAsia="Arial"/>
                <w:b/>
                <w:bCs/>
                <w:color w:val="C00000"/>
              </w:rPr>
              <w:t>1. TODOS los costos mostrados NO incluyen IVA. Debe agregarse el 16% a las tarifas oficiales del IMPI.</w:t>
            </w:r>
          </w:p>
          <w:p w14:paraId="7690A3EF" w14:textId="77777777" w:rsidR="00FF5C42" w:rsidRPr="004035CF" w:rsidRDefault="00C07C81" w:rsidP="008B2357">
            <w:pPr>
              <w:spacing w:before="40"/>
              <w:jc w:val="both"/>
            </w:pPr>
            <w:r w:rsidRPr="004035CF">
              <w:rPr>
                <w:rFonts w:eastAsia="Arial"/>
              </w:rPr>
              <w:t xml:space="preserve">2. Portal PASE: Todos los trámites se realizan electrónicamente a través del Portal de Pagos y Servicios Electrónicos (PASE) del IMPI. Se requiere </w:t>
            </w:r>
            <w:proofErr w:type="spellStart"/>
            <w:proofErr w:type="gramStart"/>
            <w:r w:rsidRPr="004035CF">
              <w:rPr>
                <w:rFonts w:eastAsia="Arial"/>
              </w:rPr>
              <w:t>e.firma</w:t>
            </w:r>
            <w:proofErr w:type="spellEnd"/>
            <w:proofErr w:type="gramEnd"/>
            <w:r w:rsidRPr="004035CF">
              <w:rPr>
                <w:rFonts w:eastAsia="Arial"/>
              </w:rPr>
              <w:t xml:space="preserve"> (firma electrónica avanzada).</w:t>
            </w:r>
          </w:p>
          <w:p w14:paraId="7690A3F0" w14:textId="77777777" w:rsidR="00FF5C42" w:rsidRPr="004035CF" w:rsidRDefault="00C07C81" w:rsidP="008B2357">
            <w:pPr>
              <w:spacing w:before="40"/>
              <w:jc w:val="both"/>
            </w:pPr>
            <w:r w:rsidRPr="004035CF">
              <w:rPr>
                <w:rFonts w:eastAsia="Arial"/>
                <w:b/>
                <w:bCs/>
              </w:rPr>
              <w:t>3. Costos adicionales potenciales:</w:t>
            </w:r>
          </w:p>
          <w:p w14:paraId="7690A3F1" w14:textId="77777777" w:rsidR="00FF5C42" w:rsidRPr="004035CF" w:rsidRDefault="00C07C81" w:rsidP="008B2357">
            <w:pPr>
              <w:spacing w:before="20"/>
              <w:ind w:left="360"/>
              <w:jc w:val="both"/>
            </w:pPr>
            <w:r w:rsidRPr="004035CF">
              <w:rPr>
                <w:rFonts w:eastAsia="Arial"/>
              </w:rPr>
              <w:t>• Contestación a oficios de requisitos de forma: $1,800 - $2,000 MXN</w:t>
            </w:r>
          </w:p>
          <w:p w14:paraId="7690A3F2" w14:textId="77777777" w:rsidR="00FF5C42" w:rsidRPr="004035CF" w:rsidRDefault="00C07C81" w:rsidP="008B2357">
            <w:pPr>
              <w:ind w:left="360"/>
              <w:jc w:val="both"/>
            </w:pPr>
            <w:r w:rsidRPr="004035CF">
              <w:rPr>
                <w:rFonts w:eastAsia="Arial"/>
              </w:rPr>
              <w:t>• Contestación a oficios de anterioridad/impedimento legal: $3,900 - $4,500 MXN</w:t>
            </w:r>
          </w:p>
          <w:p w14:paraId="7690A3F3" w14:textId="77777777" w:rsidR="00FF5C42" w:rsidRPr="004035CF" w:rsidRDefault="00C07C81" w:rsidP="008B2357">
            <w:pPr>
              <w:ind w:left="360"/>
              <w:jc w:val="both"/>
            </w:pPr>
            <w:r w:rsidRPr="004035CF">
              <w:rPr>
                <w:rFonts w:eastAsia="Arial"/>
              </w:rPr>
              <w:lastRenderedPageBreak/>
              <w:t>• Honorarios de agentes de propiedad industrial: $10,000 - $50,000+ MXN (variable)</w:t>
            </w:r>
          </w:p>
          <w:p w14:paraId="7690A3F4" w14:textId="77777777" w:rsidR="00FF5C42" w:rsidRPr="004035CF" w:rsidRDefault="00C07C81" w:rsidP="008B2357">
            <w:pPr>
              <w:ind w:left="360"/>
              <w:jc w:val="both"/>
            </w:pPr>
            <w:r w:rsidRPr="004035CF">
              <w:rPr>
                <w:rFonts w:eastAsia="Arial"/>
              </w:rPr>
              <w:t>• Búsquedas especializadas de anterioridad: $3,000 - $8,000 MXN</w:t>
            </w:r>
          </w:p>
          <w:p w14:paraId="7690A3F5" w14:textId="77777777" w:rsidR="00FF5C42" w:rsidRPr="004035CF" w:rsidRDefault="00C07C81" w:rsidP="008B2357">
            <w:pPr>
              <w:spacing w:before="40"/>
              <w:jc w:val="both"/>
            </w:pPr>
            <w:r w:rsidRPr="004035CF">
              <w:rPr>
                <w:rFonts w:eastAsia="Arial"/>
              </w:rPr>
              <w:t xml:space="preserve">4. Reforma 2025-2026 en proceso: La </w:t>
            </w:r>
            <w:proofErr w:type="gramStart"/>
            <w:r w:rsidRPr="004035CF">
              <w:rPr>
                <w:rFonts w:eastAsia="Arial"/>
              </w:rPr>
              <w:t>Presidenta</w:t>
            </w:r>
            <w:proofErr w:type="gramEnd"/>
            <w:r w:rsidRPr="004035CF">
              <w:rPr>
                <w:rFonts w:eastAsia="Arial"/>
              </w:rPr>
              <w:t xml:space="preserve"> Claudia Sheinbaum presentó al Senado (septiembre 2025) reformas para reducir tiempos de resolución y modernizar el sistema. Incluye:</w:t>
            </w:r>
          </w:p>
          <w:p w14:paraId="7690A3F6" w14:textId="77777777" w:rsidR="00FF5C42" w:rsidRPr="004035CF" w:rsidRDefault="00C07C81" w:rsidP="008B2357">
            <w:pPr>
              <w:spacing w:before="20"/>
              <w:ind w:left="360"/>
              <w:jc w:val="both"/>
            </w:pPr>
            <w:r w:rsidRPr="004035CF">
              <w:rPr>
                <w:rFonts w:eastAsia="Arial"/>
              </w:rPr>
              <w:t>• Solicitud provisional de patente (prioridad con requisitos mínimos)</w:t>
            </w:r>
          </w:p>
          <w:p w14:paraId="7690A3F7" w14:textId="77777777" w:rsidR="00FF5C42" w:rsidRPr="004035CF" w:rsidRDefault="00C07C81" w:rsidP="008B2357">
            <w:pPr>
              <w:ind w:left="360"/>
              <w:jc w:val="both"/>
            </w:pPr>
            <w:r w:rsidRPr="004035CF">
              <w:rPr>
                <w:rFonts w:eastAsia="Arial"/>
              </w:rPr>
              <w:t>• Afirmativa ficta (si IMPI no resuelve en plazo legal, se aprueba)</w:t>
            </w:r>
          </w:p>
          <w:p w14:paraId="7690A3F8" w14:textId="77777777" w:rsidR="00FF5C42" w:rsidRPr="004035CF" w:rsidRDefault="00C07C81" w:rsidP="008B2357">
            <w:pPr>
              <w:ind w:left="360"/>
              <w:jc w:val="both"/>
            </w:pPr>
            <w:r w:rsidRPr="004035CF">
              <w:rPr>
                <w:rFonts w:eastAsia="Arial"/>
              </w:rPr>
              <w:t>• Sanciones por uso de IA en infracciones de PI</w:t>
            </w:r>
          </w:p>
          <w:p w14:paraId="7690A3F9" w14:textId="77777777" w:rsidR="00FF5C42" w:rsidRPr="004035CF" w:rsidRDefault="00C07C81" w:rsidP="008B2357">
            <w:pPr>
              <w:spacing w:before="40"/>
              <w:jc w:val="both"/>
            </w:pPr>
            <w:r w:rsidRPr="004035CF">
              <w:rPr>
                <w:rFonts w:eastAsia="Arial"/>
                <w:color w:val="C00000"/>
              </w:rPr>
              <w:t>5. Tasa de rechazo: Aproximadamente el 36% de las solicitudes de marca son rechazadas. Para patentes, el porcentaje es similar. Se recomienda asesoría especializada.</w:t>
            </w:r>
          </w:p>
          <w:p w14:paraId="7690A3FA" w14:textId="77777777" w:rsidR="00FF5C42" w:rsidRPr="004035CF" w:rsidRDefault="00C07C81" w:rsidP="008B2357">
            <w:pPr>
              <w:spacing w:before="40"/>
              <w:jc w:val="both"/>
            </w:pPr>
            <w:r w:rsidRPr="004035CF">
              <w:rPr>
                <w:rFonts w:eastAsia="Arial"/>
                <w:b/>
                <w:bCs/>
              </w:rPr>
              <w:t>6. Consultas y búsquedas gratuitas:</w:t>
            </w:r>
          </w:p>
          <w:p w14:paraId="7690A3FB" w14:textId="77777777" w:rsidR="00FF5C42" w:rsidRPr="004035CF" w:rsidRDefault="00C07C81" w:rsidP="008B2357">
            <w:pPr>
              <w:spacing w:before="20"/>
              <w:ind w:left="360"/>
              <w:jc w:val="both"/>
            </w:pPr>
            <w:r w:rsidRPr="004035CF">
              <w:rPr>
                <w:rFonts w:eastAsia="Arial"/>
              </w:rPr>
              <w:t xml:space="preserve">• </w:t>
            </w:r>
            <w:proofErr w:type="spellStart"/>
            <w:r w:rsidRPr="004035CF">
              <w:rPr>
                <w:rFonts w:eastAsia="Arial"/>
              </w:rPr>
              <w:t>Marcanet</w:t>
            </w:r>
            <w:proofErr w:type="spellEnd"/>
            <w:r w:rsidRPr="004035CF">
              <w:rPr>
                <w:rFonts w:eastAsia="Arial"/>
              </w:rPr>
              <w:t xml:space="preserve"> (búsqueda de marcas): marcanet.impi.gob.mx</w:t>
            </w:r>
          </w:p>
          <w:p w14:paraId="7690A3FC" w14:textId="77777777" w:rsidR="00FF5C42" w:rsidRPr="004035CF" w:rsidRDefault="00C07C81" w:rsidP="008B2357">
            <w:pPr>
              <w:ind w:left="360"/>
              <w:jc w:val="both"/>
            </w:pPr>
            <w:r w:rsidRPr="004035CF">
              <w:rPr>
                <w:rFonts w:eastAsia="Arial"/>
              </w:rPr>
              <w:t>• Base de datos de patentes: siga.impi.gob.mx</w:t>
            </w:r>
          </w:p>
          <w:p w14:paraId="7690A3FD" w14:textId="77777777" w:rsidR="00FF5C42" w:rsidRPr="004035CF" w:rsidRDefault="00C07C81" w:rsidP="008B2357">
            <w:pPr>
              <w:ind w:left="360"/>
              <w:jc w:val="both"/>
            </w:pPr>
            <w:r w:rsidRPr="004035CF">
              <w:rPr>
                <w:rFonts w:eastAsia="Arial"/>
              </w:rPr>
              <w:t>• Portal PASE: eservicios.impi.gob.mx</w:t>
            </w:r>
          </w:p>
          <w:p w14:paraId="7690A3FE" w14:textId="77777777" w:rsidR="00FF5C42" w:rsidRPr="004035CF" w:rsidRDefault="00C07C81" w:rsidP="008B2357">
            <w:pPr>
              <w:spacing w:before="40"/>
              <w:jc w:val="both"/>
            </w:pPr>
            <w:r w:rsidRPr="004035CF">
              <w:rPr>
                <w:rFonts w:eastAsia="Arial"/>
              </w:rPr>
              <w:t>7. Anualidades de patente: Las patentes requieren pagos anuales de mantenimiento. El costo se incrementa progresivamente año con año. El no pago resulta en caducidad de la patente.</w:t>
            </w:r>
          </w:p>
          <w:p w14:paraId="7690A3FF" w14:textId="77777777" w:rsidR="00FF5C42" w:rsidRPr="004035CF" w:rsidRDefault="00C07C81" w:rsidP="008B2357">
            <w:pPr>
              <w:spacing w:before="40"/>
              <w:jc w:val="both"/>
            </w:pPr>
            <w:r w:rsidRPr="004035CF">
              <w:rPr>
                <w:rFonts w:eastAsia="Arial"/>
                <w:b/>
                <w:bCs/>
              </w:rPr>
              <w:t>8. Protección internacional: Para proteger en otros países, existen tratados como:</w:t>
            </w:r>
          </w:p>
          <w:p w14:paraId="7690A400" w14:textId="77777777" w:rsidR="00FF5C42" w:rsidRPr="004035CF" w:rsidRDefault="00C07C81" w:rsidP="008B2357">
            <w:pPr>
              <w:spacing w:before="20"/>
              <w:ind w:left="360"/>
              <w:jc w:val="both"/>
            </w:pPr>
            <w:r w:rsidRPr="004035CF">
              <w:rPr>
                <w:rFonts w:eastAsia="Arial"/>
              </w:rPr>
              <w:t xml:space="preserve">• PCT (Patent </w:t>
            </w:r>
            <w:proofErr w:type="spellStart"/>
            <w:r w:rsidRPr="004035CF">
              <w:rPr>
                <w:rFonts w:eastAsia="Arial"/>
              </w:rPr>
              <w:t>Cooperation</w:t>
            </w:r>
            <w:proofErr w:type="spellEnd"/>
            <w:r w:rsidRPr="004035CF">
              <w:rPr>
                <w:rFonts w:eastAsia="Arial"/>
              </w:rPr>
              <w:t xml:space="preserve"> </w:t>
            </w:r>
            <w:proofErr w:type="spellStart"/>
            <w:r w:rsidRPr="004035CF">
              <w:rPr>
                <w:rFonts w:eastAsia="Arial"/>
              </w:rPr>
              <w:t>Treaty</w:t>
            </w:r>
            <w:proofErr w:type="spellEnd"/>
            <w:r w:rsidRPr="004035CF">
              <w:rPr>
                <w:rFonts w:eastAsia="Arial"/>
              </w:rPr>
              <w:t>): protección de patentes en 152 países</w:t>
            </w:r>
          </w:p>
          <w:p w14:paraId="7690A401" w14:textId="77777777" w:rsidR="00FF5C42" w:rsidRPr="004035CF" w:rsidRDefault="00C07C81" w:rsidP="008B2357">
            <w:pPr>
              <w:ind w:left="360"/>
              <w:jc w:val="both"/>
            </w:pPr>
            <w:r w:rsidRPr="004035CF">
              <w:rPr>
                <w:rFonts w:eastAsia="Arial"/>
              </w:rPr>
              <w:t>• Protocolo de Madrid: registro internacional de marcas</w:t>
            </w:r>
          </w:p>
          <w:p w14:paraId="7690A402" w14:textId="77777777" w:rsidR="00FF5C42" w:rsidRPr="004035CF" w:rsidRDefault="00C07C81" w:rsidP="008B2357">
            <w:pPr>
              <w:ind w:left="360"/>
              <w:jc w:val="both"/>
            </w:pPr>
            <w:r w:rsidRPr="004035CF">
              <w:rPr>
                <w:rFonts w:eastAsia="Arial"/>
              </w:rPr>
              <w:t>• Convenio de París: derecho de prioridad (12 meses patentes, 6 meses diseños)</w:t>
            </w:r>
          </w:p>
          <w:p w14:paraId="7690A403" w14:textId="77777777" w:rsidR="00FF5C42" w:rsidRPr="004035CF" w:rsidRDefault="00C07C81" w:rsidP="008B2357">
            <w:pPr>
              <w:spacing w:before="50"/>
              <w:jc w:val="both"/>
            </w:pPr>
            <w:r w:rsidRPr="004035CF">
              <w:rPr>
                <w:rFonts w:eastAsia="Arial"/>
                <w:i/>
                <w:iCs/>
                <w:color w:val="888888"/>
              </w:rPr>
              <w:t>Fuente: Información actualizada al 12 de febrero de 2026 con base en tarifas oficiales IMPI (Acuerdo DOF 15-03-2024), Ley Federal de Protección a la Propiedad Industrial (2020) y reformas propuestas 2025.</w:t>
            </w:r>
          </w:p>
        </w:tc>
      </w:tr>
    </w:tbl>
    <w:p w14:paraId="7690A405" w14:textId="77777777" w:rsidR="00FF5C42" w:rsidRPr="004035CF" w:rsidRDefault="00C07C81" w:rsidP="008B2357">
      <w:pPr>
        <w:spacing w:before="120"/>
        <w:jc w:val="both"/>
      </w:pPr>
      <w:r w:rsidRPr="004035CF">
        <w:rPr>
          <w:rFonts w:eastAsia="Arial"/>
          <w:i/>
          <w:iCs/>
          <w:color w:val="999999"/>
        </w:rPr>
        <w:lastRenderedPageBreak/>
        <w:t>Documento elaborado con fines educativos • Para trámites oficiales consulte siempre www.impi.gob.mx</w:t>
      </w:r>
    </w:p>
    <w:p w14:paraId="7690A406" w14:textId="77777777" w:rsidR="00FF5C42" w:rsidRPr="004035CF" w:rsidRDefault="00C07C81" w:rsidP="008B2357">
      <w:pPr>
        <w:jc w:val="both"/>
        <w:rPr>
          <w:color w:val="0070C0"/>
        </w:rPr>
      </w:pPr>
      <w:r w:rsidRPr="004035CF">
        <w:rPr>
          <w:color w:val="0070C0"/>
        </w:rPr>
        <w:br w:type="page" w:clear="all"/>
      </w:r>
    </w:p>
    <w:p w14:paraId="7690A407" w14:textId="77777777" w:rsidR="00FF5C42" w:rsidRPr="004035CF" w:rsidRDefault="00C07C81" w:rsidP="008B2357">
      <w:pPr>
        <w:spacing w:before="120" w:after="200"/>
        <w:jc w:val="both"/>
      </w:pPr>
      <w:r w:rsidRPr="004035CF">
        <w:rPr>
          <w:rFonts w:eastAsia="Arial"/>
          <w:b/>
          <w:bCs/>
          <w:color w:val="2E74B5"/>
        </w:rPr>
        <w:lastRenderedPageBreak/>
        <w:t>Anexo 3: MODELO DE COMPETENCIAS EN DISEÑO INDUSTRIAL</w:t>
      </w:r>
    </w:p>
    <w:p w14:paraId="7690A408" w14:textId="77777777" w:rsidR="00FF5C42" w:rsidRPr="004035CF" w:rsidRDefault="00C07C81" w:rsidP="008B2357">
      <w:pPr>
        <w:spacing w:after="160"/>
        <w:jc w:val="both"/>
      </w:pPr>
      <w:r w:rsidRPr="004035CF">
        <w:rPr>
          <w:rFonts w:eastAsia="Arial"/>
          <w:color w:val="555555"/>
        </w:rPr>
        <w:t>Progresión de competencias por semestre</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700"/>
        <w:gridCol w:w="2700"/>
        <w:gridCol w:w="2700"/>
      </w:tblGrid>
      <w:tr w:rsidR="00FF5C42" w:rsidRPr="004035CF" w14:paraId="7690A415" w14:textId="77777777">
        <w:tc>
          <w:tcPr>
            <w:tcW w:w="2700" w:type="dxa"/>
            <w:tcBorders>
              <w:top w:val="single" w:sz="3" w:space="0" w:color="444444"/>
              <w:left w:val="single" w:sz="3" w:space="0" w:color="444444"/>
              <w:bottom w:val="single" w:sz="3" w:space="0" w:color="444444"/>
              <w:right w:val="single" w:sz="3" w:space="0" w:color="444444"/>
            </w:tcBorders>
            <w:shd w:val="clear" w:color="FFFFFF" w:fill="2E74B5"/>
            <w:tcMar>
              <w:top w:w="120" w:type="dxa"/>
              <w:left w:w="140" w:type="dxa"/>
              <w:bottom w:w="120" w:type="dxa"/>
              <w:right w:w="140" w:type="dxa"/>
            </w:tcMar>
          </w:tcPr>
          <w:p w14:paraId="7690A409" w14:textId="77777777" w:rsidR="00FF5C42" w:rsidRPr="004035CF" w:rsidRDefault="00C07C81" w:rsidP="008B2357">
            <w:pPr>
              <w:jc w:val="both"/>
            </w:pPr>
            <w:r w:rsidRPr="004035CF">
              <w:rPr>
                <w:rFonts w:eastAsia="Arial"/>
                <w:b/>
                <w:bCs/>
                <w:color w:val="FFFFFF"/>
              </w:rPr>
              <w:t>EJE 1</w:t>
            </w:r>
          </w:p>
          <w:p w14:paraId="7690A40A" w14:textId="77777777" w:rsidR="00FF5C42" w:rsidRPr="004035CF" w:rsidRDefault="00C07C81" w:rsidP="008B2357">
            <w:pPr>
              <w:spacing w:before="40"/>
              <w:jc w:val="both"/>
            </w:pPr>
            <w:r w:rsidRPr="004035CF">
              <w:rPr>
                <w:rFonts w:eastAsia="Arial"/>
                <w:b/>
                <w:bCs/>
                <w:color w:val="FFFFFF"/>
              </w:rPr>
              <w:t>COMPETENCIAS PROYECTUALES</w:t>
            </w:r>
          </w:p>
          <w:p w14:paraId="7690A40B" w14:textId="77777777" w:rsidR="00FF5C42" w:rsidRPr="004035CF" w:rsidRDefault="00C07C81" w:rsidP="008B2357">
            <w:pPr>
              <w:spacing w:before="60"/>
              <w:jc w:val="both"/>
            </w:pPr>
            <w:r w:rsidRPr="004035CF">
              <w:rPr>
                <w:rFonts w:eastAsia="Arial"/>
                <w:color w:val="FFFFFF"/>
              </w:rPr>
              <w:t>Metodología de diseño, creatividad, conceptualización, desarrollo de proyectos</w:t>
            </w:r>
          </w:p>
        </w:tc>
        <w:tc>
          <w:tcPr>
            <w:tcW w:w="2700" w:type="dxa"/>
            <w:tcBorders>
              <w:top w:val="single" w:sz="3" w:space="0" w:color="444444"/>
              <w:left w:val="single" w:sz="3" w:space="0" w:color="444444"/>
              <w:bottom w:val="single" w:sz="3" w:space="0" w:color="444444"/>
              <w:right w:val="single" w:sz="3" w:space="0" w:color="444444"/>
            </w:tcBorders>
            <w:shd w:val="clear" w:color="FFFFFF" w:fill="70AD47"/>
            <w:tcMar>
              <w:top w:w="120" w:type="dxa"/>
              <w:left w:w="140" w:type="dxa"/>
              <w:bottom w:w="120" w:type="dxa"/>
              <w:right w:w="140" w:type="dxa"/>
            </w:tcMar>
          </w:tcPr>
          <w:p w14:paraId="7690A40C" w14:textId="77777777" w:rsidR="00FF5C42" w:rsidRPr="004035CF" w:rsidRDefault="00C07C81" w:rsidP="008B2357">
            <w:pPr>
              <w:jc w:val="both"/>
            </w:pPr>
            <w:r w:rsidRPr="004035CF">
              <w:rPr>
                <w:rFonts w:eastAsia="Arial"/>
                <w:b/>
                <w:bCs/>
                <w:color w:val="FFFFFF"/>
              </w:rPr>
              <w:t>EJE 2</w:t>
            </w:r>
          </w:p>
          <w:p w14:paraId="7690A40D" w14:textId="77777777" w:rsidR="00FF5C42" w:rsidRPr="004035CF" w:rsidRDefault="00C07C81" w:rsidP="008B2357">
            <w:pPr>
              <w:spacing w:before="40"/>
              <w:jc w:val="both"/>
            </w:pPr>
            <w:r w:rsidRPr="004035CF">
              <w:rPr>
                <w:rFonts w:eastAsia="Arial"/>
                <w:b/>
                <w:bCs/>
                <w:color w:val="FFFFFF"/>
              </w:rPr>
              <w:t>COMPETENCIAS TÉCNICAS</w:t>
            </w:r>
          </w:p>
          <w:p w14:paraId="7690A40E" w14:textId="77777777" w:rsidR="00FF5C42" w:rsidRPr="004035CF" w:rsidRDefault="00C07C81" w:rsidP="008B2357">
            <w:pPr>
              <w:spacing w:before="60"/>
              <w:jc w:val="both"/>
            </w:pPr>
            <w:r w:rsidRPr="004035CF">
              <w:rPr>
                <w:rFonts w:eastAsia="Arial"/>
                <w:color w:val="FFFFFF"/>
              </w:rPr>
              <w:t>Materiales, procesos de manufactura, dibujo técnico, prototipado</w:t>
            </w:r>
          </w:p>
        </w:tc>
        <w:tc>
          <w:tcPr>
            <w:tcW w:w="2700" w:type="dxa"/>
            <w:tcBorders>
              <w:top w:val="single" w:sz="3" w:space="0" w:color="444444"/>
              <w:left w:val="single" w:sz="3" w:space="0" w:color="444444"/>
              <w:bottom w:val="single" w:sz="3" w:space="0" w:color="444444"/>
              <w:right w:val="single" w:sz="3" w:space="0" w:color="444444"/>
            </w:tcBorders>
            <w:shd w:val="clear" w:color="FFFFFF" w:fill="ED7D31"/>
            <w:tcMar>
              <w:top w:w="120" w:type="dxa"/>
              <w:left w:w="140" w:type="dxa"/>
              <w:bottom w:w="120" w:type="dxa"/>
              <w:right w:w="140" w:type="dxa"/>
            </w:tcMar>
          </w:tcPr>
          <w:p w14:paraId="7690A40F" w14:textId="77777777" w:rsidR="00FF5C42" w:rsidRPr="004035CF" w:rsidRDefault="00C07C81" w:rsidP="008B2357">
            <w:pPr>
              <w:jc w:val="both"/>
            </w:pPr>
            <w:r w:rsidRPr="004035CF">
              <w:rPr>
                <w:rFonts w:eastAsia="Arial"/>
                <w:b/>
                <w:bCs/>
                <w:color w:val="FFFFFF"/>
              </w:rPr>
              <w:t>EJE 3</w:t>
            </w:r>
          </w:p>
          <w:p w14:paraId="7690A410" w14:textId="77777777" w:rsidR="00FF5C42" w:rsidRPr="004035CF" w:rsidRDefault="00C07C81" w:rsidP="008B2357">
            <w:pPr>
              <w:spacing w:before="40"/>
              <w:jc w:val="both"/>
            </w:pPr>
            <w:r w:rsidRPr="004035CF">
              <w:rPr>
                <w:rFonts w:eastAsia="Arial"/>
                <w:b/>
                <w:bCs/>
                <w:color w:val="FFFFFF"/>
              </w:rPr>
              <w:t>COMPETENCIAS DE GESTIÓN E INNOVACIÓN</w:t>
            </w:r>
          </w:p>
          <w:p w14:paraId="7690A411" w14:textId="77777777" w:rsidR="00FF5C42" w:rsidRPr="004035CF" w:rsidRDefault="00C07C81" w:rsidP="008B2357">
            <w:pPr>
              <w:spacing w:before="60"/>
              <w:jc w:val="both"/>
            </w:pPr>
            <w:r w:rsidRPr="004035CF">
              <w:rPr>
                <w:rFonts w:eastAsia="Arial"/>
                <w:color w:val="FFFFFF"/>
              </w:rPr>
              <w:t>Emprendimiento, propiedad intelectual, modelo de negocios</w:t>
            </w:r>
          </w:p>
        </w:tc>
        <w:tc>
          <w:tcPr>
            <w:tcW w:w="2700" w:type="dxa"/>
            <w:tcBorders>
              <w:top w:val="single" w:sz="3" w:space="0" w:color="444444"/>
              <w:left w:val="single" w:sz="3" w:space="0" w:color="444444"/>
              <w:bottom w:val="single" w:sz="3" w:space="0" w:color="444444"/>
              <w:right w:val="single" w:sz="3" w:space="0" w:color="444444"/>
            </w:tcBorders>
            <w:shd w:val="clear" w:color="FFFFFF" w:fill="7030A0"/>
            <w:tcMar>
              <w:top w:w="120" w:type="dxa"/>
              <w:left w:w="140" w:type="dxa"/>
              <w:bottom w:w="120" w:type="dxa"/>
              <w:right w:w="140" w:type="dxa"/>
            </w:tcMar>
          </w:tcPr>
          <w:p w14:paraId="7690A412" w14:textId="77777777" w:rsidR="00FF5C42" w:rsidRPr="004035CF" w:rsidRDefault="00C07C81" w:rsidP="008B2357">
            <w:pPr>
              <w:jc w:val="both"/>
            </w:pPr>
            <w:r w:rsidRPr="004035CF">
              <w:rPr>
                <w:rFonts w:eastAsia="Arial"/>
                <w:b/>
                <w:bCs/>
                <w:color w:val="FFFFFF"/>
              </w:rPr>
              <w:t>EJE 4</w:t>
            </w:r>
          </w:p>
          <w:p w14:paraId="7690A413" w14:textId="77777777" w:rsidR="00FF5C42" w:rsidRPr="004035CF" w:rsidRDefault="00C07C81" w:rsidP="008B2357">
            <w:pPr>
              <w:spacing w:before="40"/>
              <w:jc w:val="both"/>
            </w:pPr>
            <w:r w:rsidRPr="004035CF">
              <w:rPr>
                <w:rFonts w:eastAsia="Arial"/>
                <w:b/>
                <w:bCs/>
                <w:color w:val="FFFFFF"/>
              </w:rPr>
              <w:t>COMPETENCIAS HUMANÍSTICAS Y SOCIALES</w:t>
            </w:r>
          </w:p>
          <w:p w14:paraId="7690A414" w14:textId="77777777" w:rsidR="00FF5C42" w:rsidRPr="004035CF" w:rsidRDefault="00C07C81" w:rsidP="008B2357">
            <w:pPr>
              <w:spacing w:before="60"/>
              <w:jc w:val="both"/>
            </w:pPr>
            <w:r w:rsidRPr="004035CF">
              <w:rPr>
                <w:rFonts w:eastAsia="Arial"/>
                <w:color w:val="FFFFFF"/>
              </w:rPr>
              <w:t>Diseño centrado en usuario, sustentabilidad, ética, impacto social</w:t>
            </w:r>
          </w:p>
        </w:tc>
      </w:tr>
    </w:tbl>
    <w:p w14:paraId="7690A416" w14:textId="77777777" w:rsidR="00FF5C42" w:rsidRPr="004035CF" w:rsidRDefault="00FF5C42" w:rsidP="008B2357">
      <w:pPr>
        <w:spacing w:before="180" w:after="100"/>
        <w:jc w:val="both"/>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1"/>
        <w:gridCol w:w="2113"/>
        <w:gridCol w:w="2040"/>
        <w:gridCol w:w="2174"/>
        <w:gridCol w:w="2112"/>
      </w:tblGrid>
      <w:tr w:rsidR="00FF5C42" w:rsidRPr="004035CF" w14:paraId="7690A41C" w14:textId="77777777">
        <w:tc>
          <w:tcPr>
            <w:tcW w:w="1350" w:type="dxa"/>
            <w:tcBorders>
              <w:top w:val="single" w:sz="1" w:space="0" w:color="999999"/>
              <w:left w:val="single" w:sz="1" w:space="0" w:color="999999"/>
              <w:bottom w:val="single" w:sz="1" w:space="0" w:color="999999"/>
              <w:right w:val="single" w:sz="1" w:space="0" w:color="999999"/>
            </w:tcBorders>
            <w:shd w:val="clear" w:color="FFFFFF" w:fill="444444"/>
            <w:tcMar>
              <w:top w:w="80" w:type="dxa"/>
              <w:left w:w="100" w:type="dxa"/>
              <w:bottom w:w="80" w:type="dxa"/>
              <w:right w:w="100" w:type="dxa"/>
            </w:tcMar>
          </w:tcPr>
          <w:p w14:paraId="7690A417" w14:textId="77777777" w:rsidR="00FF5C42" w:rsidRPr="004035CF" w:rsidRDefault="00C07C81" w:rsidP="008B2357">
            <w:pPr>
              <w:jc w:val="both"/>
            </w:pPr>
            <w:r w:rsidRPr="004035CF">
              <w:rPr>
                <w:rFonts w:eastAsia="Arial"/>
                <w:b/>
                <w:bCs/>
                <w:color w:val="FFFFFF"/>
              </w:rPr>
              <w:t>NIVEL</w:t>
            </w:r>
          </w:p>
        </w:tc>
        <w:tc>
          <w:tcPr>
            <w:tcW w:w="2363" w:type="dxa"/>
            <w:tcBorders>
              <w:top w:val="single" w:sz="1" w:space="0" w:color="999999"/>
              <w:left w:val="single" w:sz="1" w:space="0" w:color="999999"/>
              <w:bottom w:val="single" w:sz="1" w:space="0" w:color="999999"/>
              <w:right w:val="single" w:sz="1" w:space="0" w:color="999999"/>
            </w:tcBorders>
            <w:shd w:val="clear" w:color="FFFFFF" w:fill="2E74B5"/>
            <w:tcMar>
              <w:top w:w="80" w:type="dxa"/>
              <w:left w:w="100" w:type="dxa"/>
              <w:bottom w:w="80" w:type="dxa"/>
              <w:right w:w="100" w:type="dxa"/>
            </w:tcMar>
          </w:tcPr>
          <w:p w14:paraId="7690A418" w14:textId="77777777" w:rsidR="00FF5C42" w:rsidRPr="004035CF" w:rsidRDefault="00C07C81" w:rsidP="008B2357">
            <w:pPr>
              <w:jc w:val="both"/>
            </w:pPr>
            <w:r w:rsidRPr="004035CF">
              <w:rPr>
                <w:rFonts w:eastAsia="Arial"/>
                <w:b/>
                <w:bCs/>
                <w:color w:val="FFFFFF"/>
              </w:rPr>
              <w:t>Eje 1: Proyectuales</w:t>
            </w:r>
          </w:p>
        </w:tc>
        <w:tc>
          <w:tcPr>
            <w:tcW w:w="2363" w:type="dxa"/>
            <w:tcBorders>
              <w:top w:val="single" w:sz="1" w:space="0" w:color="999999"/>
              <w:left w:val="single" w:sz="1" w:space="0" w:color="999999"/>
              <w:bottom w:val="single" w:sz="1" w:space="0" w:color="999999"/>
              <w:right w:val="single" w:sz="1" w:space="0" w:color="999999"/>
            </w:tcBorders>
            <w:shd w:val="clear" w:color="FFFFFF" w:fill="70AD47"/>
            <w:tcMar>
              <w:top w:w="80" w:type="dxa"/>
              <w:left w:w="100" w:type="dxa"/>
              <w:bottom w:w="80" w:type="dxa"/>
              <w:right w:w="100" w:type="dxa"/>
            </w:tcMar>
          </w:tcPr>
          <w:p w14:paraId="7690A419" w14:textId="77777777" w:rsidR="00FF5C42" w:rsidRPr="004035CF" w:rsidRDefault="00C07C81" w:rsidP="008B2357">
            <w:pPr>
              <w:jc w:val="both"/>
            </w:pPr>
            <w:r w:rsidRPr="004035CF">
              <w:rPr>
                <w:rFonts w:eastAsia="Arial"/>
                <w:b/>
                <w:bCs/>
                <w:color w:val="FFFFFF"/>
              </w:rPr>
              <w:t>Eje 2: Técnicas</w:t>
            </w:r>
          </w:p>
        </w:tc>
        <w:tc>
          <w:tcPr>
            <w:tcW w:w="2362" w:type="dxa"/>
            <w:tcBorders>
              <w:top w:val="single" w:sz="1" w:space="0" w:color="999999"/>
              <w:left w:val="single" w:sz="1" w:space="0" w:color="999999"/>
              <w:bottom w:val="single" w:sz="1" w:space="0" w:color="999999"/>
              <w:right w:val="single" w:sz="1" w:space="0" w:color="999999"/>
            </w:tcBorders>
            <w:shd w:val="clear" w:color="FFFFFF" w:fill="ED7D31"/>
            <w:tcMar>
              <w:top w:w="80" w:type="dxa"/>
              <w:left w:w="100" w:type="dxa"/>
              <w:bottom w:w="80" w:type="dxa"/>
              <w:right w:w="100" w:type="dxa"/>
            </w:tcMar>
          </w:tcPr>
          <w:p w14:paraId="7690A41A" w14:textId="77777777" w:rsidR="00FF5C42" w:rsidRPr="004035CF" w:rsidRDefault="00C07C81" w:rsidP="008B2357">
            <w:pPr>
              <w:jc w:val="both"/>
            </w:pPr>
            <w:r w:rsidRPr="004035CF">
              <w:rPr>
                <w:rFonts w:eastAsia="Arial"/>
                <w:b/>
                <w:bCs/>
                <w:color w:val="FFFFFF"/>
              </w:rPr>
              <w:t>Eje 3: Gestión</w:t>
            </w:r>
          </w:p>
        </w:tc>
        <w:tc>
          <w:tcPr>
            <w:tcW w:w="2362" w:type="dxa"/>
            <w:tcBorders>
              <w:top w:val="single" w:sz="1" w:space="0" w:color="999999"/>
              <w:left w:val="single" w:sz="1" w:space="0" w:color="999999"/>
              <w:bottom w:val="single" w:sz="1" w:space="0" w:color="999999"/>
              <w:right w:val="single" w:sz="1" w:space="0" w:color="999999"/>
            </w:tcBorders>
            <w:shd w:val="clear" w:color="FFFFFF" w:fill="7030A0"/>
            <w:tcMar>
              <w:top w:w="80" w:type="dxa"/>
              <w:left w:w="100" w:type="dxa"/>
              <w:bottom w:w="80" w:type="dxa"/>
              <w:right w:w="100" w:type="dxa"/>
            </w:tcMar>
          </w:tcPr>
          <w:p w14:paraId="7690A41B" w14:textId="77777777" w:rsidR="00FF5C42" w:rsidRPr="004035CF" w:rsidRDefault="00C07C81" w:rsidP="008B2357">
            <w:pPr>
              <w:jc w:val="both"/>
            </w:pPr>
            <w:r w:rsidRPr="004035CF">
              <w:rPr>
                <w:rFonts w:eastAsia="Arial"/>
                <w:b/>
                <w:bCs/>
                <w:color w:val="FFFFFF"/>
              </w:rPr>
              <w:t>Eje 4: Humanísticas</w:t>
            </w:r>
          </w:p>
        </w:tc>
      </w:tr>
      <w:tr w:rsidR="00FF5C42" w:rsidRPr="004035CF" w14:paraId="7690A42C" w14:textId="77777777">
        <w:tc>
          <w:tcPr>
            <w:tcW w:w="1350" w:type="dxa"/>
            <w:tcBorders>
              <w:top w:val="single" w:sz="1" w:space="0" w:color="999999"/>
              <w:left w:val="single" w:sz="1" w:space="0" w:color="999999"/>
              <w:bottom w:val="single" w:sz="1" w:space="0" w:color="999999"/>
              <w:right w:val="single" w:sz="1" w:space="0" w:color="999999"/>
            </w:tcBorders>
            <w:shd w:val="clear" w:color="FFFFFF" w:fill="FFF2CC"/>
            <w:tcMar>
              <w:top w:w="100" w:type="dxa"/>
              <w:left w:w="100" w:type="dxa"/>
              <w:bottom w:w="100" w:type="dxa"/>
              <w:right w:w="100" w:type="dxa"/>
            </w:tcMar>
            <w:vAlign w:val="center"/>
          </w:tcPr>
          <w:p w14:paraId="7690A41D" w14:textId="77777777" w:rsidR="00FF5C42" w:rsidRPr="004035CF" w:rsidRDefault="00C07C81" w:rsidP="008B2357">
            <w:pPr>
              <w:jc w:val="both"/>
            </w:pPr>
            <w:r w:rsidRPr="004035CF">
              <w:rPr>
                <w:rFonts w:eastAsia="Arial"/>
                <w:b/>
                <w:bCs/>
                <w:color w:val="FFC000"/>
              </w:rPr>
              <w:t>SEMESTRES 1-2</w:t>
            </w:r>
          </w:p>
          <w:p w14:paraId="7690A41E" w14:textId="77777777" w:rsidR="00FF5C42" w:rsidRPr="004035CF" w:rsidRDefault="00C07C81" w:rsidP="008B2357">
            <w:pPr>
              <w:spacing w:before="20"/>
              <w:jc w:val="both"/>
            </w:pPr>
            <w:r w:rsidRPr="004035CF">
              <w:rPr>
                <w:rFonts w:eastAsia="Arial"/>
                <w:i/>
                <w:iCs/>
                <w:color w:val="666666"/>
              </w:rPr>
              <w:t>FUNDAMENTACIÓN</w:t>
            </w:r>
          </w:p>
        </w:tc>
        <w:tc>
          <w:tcPr>
            <w:tcW w:w="2363"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20" w:type="dxa"/>
              <w:bottom w:w="80" w:type="dxa"/>
              <w:right w:w="120" w:type="dxa"/>
            </w:tcMar>
          </w:tcPr>
          <w:p w14:paraId="7690A41F" w14:textId="77777777" w:rsidR="00FF5C42" w:rsidRPr="004035CF" w:rsidRDefault="00C07C81" w:rsidP="008B2357">
            <w:pPr>
              <w:jc w:val="both"/>
            </w:pPr>
            <w:r w:rsidRPr="004035CF">
              <w:rPr>
                <w:rFonts w:eastAsia="Arial"/>
              </w:rPr>
              <w:t>• Introducción al diseño</w:t>
            </w:r>
          </w:p>
          <w:p w14:paraId="7690A420" w14:textId="77777777" w:rsidR="00FF5C42" w:rsidRPr="004035CF" w:rsidRDefault="00C07C81" w:rsidP="008B2357">
            <w:pPr>
              <w:spacing w:before="15"/>
              <w:jc w:val="both"/>
            </w:pPr>
            <w:r w:rsidRPr="004035CF">
              <w:rPr>
                <w:rFonts w:eastAsia="Arial"/>
              </w:rPr>
              <w:t>• Fundamentos de diseño</w:t>
            </w:r>
          </w:p>
          <w:p w14:paraId="7690A421" w14:textId="77777777" w:rsidR="00FF5C42" w:rsidRPr="004035CF" w:rsidRDefault="00C07C81" w:rsidP="008B2357">
            <w:pPr>
              <w:spacing w:before="15"/>
              <w:jc w:val="both"/>
            </w:pPr>
            <w:r w:rsidRPr="004035CF">
              <w:rPr>
                <w:rFonts w:eastAsia="Arial"/>
              </w:rPr>
              <w:t>• Pensamiento creativo</w:t>
            </w:r>
          </w:p>
          <w:p w14:paraId="7690A422" w14:textId="77777777" w:rsidR="00FF5C42" w:rsidRPr="004035CF" w:rsidRDefault="00C07C81" w:rsidP="008B2357">
            <w:pPr>
              <w:spacing w:before="15"/>
              <w:jc w:val="both"/>
            </w:pPr>
            <w:r w:rsidRPr="004035CF">
              <w:rPr>
                <w:rFonts w:eastAsia="Arial"/>
              </w:rPr>
              <w:t>• Bocetaje básico</w:t>
            </w:r>
          </w:p>
        </w:tc>
        <w:tc>
          <w:tcPr>
            <w:tcW w:w="2363"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20" w:type="dxa"/>
              <w:bottom w:w="80" w:type="dxa"/>
              <w:right w:w="120" w:type="dxa"/>
            </w:tcMar>
          </w:tcPr>
          <w:p w14:paraId="7690A423" w14:textId="77777777" w:rsidR="00FF5C42" w:rsidRPr="004035CF" w:rsidRDefault="00C07C81" w:rsidP="008B2357">
            <w:pPr>
              <w:jc w:val="both"/>
            </w:pPr>
            <w:r w:rsidRPr="004035CF">
              <w:rPr>
                <w:rFonts w:eastAsia="Arial"/>
              </w:rPr>
              <w:t>• Dibujo técnico I</w:t>
            </w:r>
          </w:p>
          <w:p w14:paraId="7690A424" w14:textId="77777777" w:rsidR="00FF5C42" w:rsidRPr="004035CF" w:rsidRDefault="00C07C81" w:rsidP="008B2357">
            <w:pPr>
              <w:spacing w:before="15"/>
              <w:jc w:val="both"/>
            </w:pPr>
            <w:r w:rsidRPr="004035CF">
              <w:rPr>
                <w:rFonts w:eastAsia="Arial"/>
              </w:rPr>
              <w:t>• Geometría descriptiva</w:t>
            </w:r>
          </w:p>
          <w:p w14:paraId="7690A425" w14:textId="77777777" w:rsidR="00FF5C42" w:rsidRPr="004035CF" w:rsidRDefault="00C07C81" w:rsidP="008B2357">
            <w:pPr>
              <w:spacing w:before="15"/>
              <w:jc w:val="both"/>
            </w:pPr>
            <w:r w:rsidRPr="004035CF">
              <w:rPr>
                <w:rFonts w:eastAsia="Arial"/>
              </w:rPr>
              <w:t xml:space="preserve">• </w:t>
            </w:r>
            <w:proofErr w:type="spellStart"/>
            <w:r w:rsidRPr="004035CF">
              <w:rPr>
                <w:rFonts w:eastAsia="Arial"/>
              </w:rPr>
              <w:t>Intro</w:t>
            </w:r>
            <w:proofErr w:type="spellEnd"/>
            <w:r w:rsidRPr="004035CF">
              <w:rPr>
                <w:rFonts w:eastAsia="Arial"/>
              </w:rPr>
              <w:t xml:space="preserve"> a materiales</w:t>
            </w:r>
          </w:p>
          <w:p w14:paraId="7690A426" w14:textId="77777777" w:rsidR="00FF5C42" w:rsidRPr="004035CF" w:rsidRDefault="00C07C81" w:rsidP="008B2357">
            <w:pPr>
              <w:spacing w:before="15"/>
              <w:jc w:val="both"/>
            </w:pPr>
            <w:r w:rsidRPr="004035CF">
              <w:rPr>
                <w:rFonts w:eastAsia="Arial"/>
              </w:rPr>
              <w:t>• Herramientas manuales</w:t>
            </w:r>
          </w:p>
        </w:tc>
        <w:tc>
          <w:tcPr>
            <w:tcW w:w="2362"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20" w:type="dxa"/>
              <w:bottom w:w="80" w:type="dxa"/>
              <w:right w:w="120" w:type="dxa"/>
            </w:tcMar>
          </w:tcPr>
          <w:p w14:paraId="7690A427" w14:textId="77777777" w:rsidR="00FF5C42" w:rsidRPr="004035CF" w:rsidRDefault="00C07C81" w:rsidP="008B2357">
            <w:pPr>
              <w:jc w:val="both"/>
            </w:pPr>
            <w:r w:rsidRPr="004035CF">
              <w:rPr>
                <w:rFonts w:eastAsia="Arial"/>
              </w:rPr>
              <w:t>• Historia del diseño industrial</w:t>
            </w:r>
          </w:p>
          <w:p w14:paraId="7690A428" w14:textId="77777777" w:rsidR="00FF5C42" w:rsidRPr="004035CF" w:rsidRDefault="00C07C81" w:rsidP="008B2357">
            <w:pPr>
              <w:spacing w:before="15"/>
              <w:jc w:val="both"/>
            </w:pPr>
            <w:r w:rsidRPr="004035CF">
              <w:rPr>
                <w:rFonts w:eastAsia="Arial"/>
              </w:rPr>
              <w:t>• Contexto económico del diseño</w:t>
            </w:r>
          </w:p>
        </w:tc>
        <w:tc>
          <w:tcPr>
            <w:tcW w:w="2362"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20" w:type="dxa"/>
              <w:bottom w:w="80" w:type="dxa"/>
              <w:right w:w="120" w:type="dxa"/>
            </w:tcMar>
          </w:tcPr>
          <w:p w14:paraId="7690A429" w14:textId="77777777" w:rsidR="00FF5C42" w:rsidRPr="004035CF" w:rsidRDefault="00C07C81" w:rsidP="008B2357">
            <w:pPr>
              <w:jc w:val="both"/>
            </w:pPr>
            <w:r w:rsidRPr="004035CF">
              <w:rPr>
                <w:rFonts w:eastAsia="Arial"/>
              </w:rPr>
              <w:t>• Teoría del diseño</w:t>
            </w:r>
          </w:p>
          <w:p w14:paraId="7690A42A" w14:textId="77777777" w:rsidR="00FF5C42" w:rsidRPr="004035CF" w:rsidRDefault="00C07C81" w:rsidP="008B2357">
            <w:pPr>
              <w:spacing w:before="15"/>
              <w:jc w:val="both"/>
            </w:pPr>
            <w:r w:rsidRPr="004035CF">
              <w:rPr>
                <w:rFonts w:eastAsia="Arial"/>
              </w:rPr>
              <w:t>• Factores humanos básicos</w:t>
            </w:r>
          </w:p>
          <w:p w14:paraId="7690A42B" w14:textId="77777777" w:rsidR="00FF5C42" w:rsidRPr="004035CF" w:rsidRDefault="00C07C81" w:rsidP="008B2357">
            <w:pPr>
              <w:spacing w:before="15"/>
              <w:jc w:val="both"/>
            </w:pPr>
            <w:r w:rsidRPr="004035CF">
              <w:rPr>
                <w:rFonts w:eastAsia="Arial"/>
              </w:rPr>
              <w:t>• Observación de usuarios</w:t>
            </w:r>
          </w:p>
        </w:tc>
      </w:tr>
      <w:tr w:rsidR="00FF5C42" w:rsidRPr="004035CF" w14:paraId="7690A43C" w14:textId="77777777">
        <w:tc>
          <w:tcPr>
            <w:tcW w:w="1350" w:type="dxa"/>
            <w:tcBorders>
              <w:top w:val="single" w:sz="1" w:space="0" w:color="999999"/>
              <w:left w:val="single" w:sz="1" w:space="0" w:color="999999"/>
              <w:bottom w:val="single" w:sz="1" w:space="0" w:color="999999"/>
              <w:right w:val="single" w:sz="1" w:space="0" w:color="999999"/>
            </w:tcBorders>
            <w:shd w:val="clear" w:color="FFFFFF" w:fill="FFF2CC"/>
            <w:tcMar>
              <w:top w:w="100" w:type="dxa"/>
              <w:left w:w="100" w:type="dxa"/>
              <w:bottom w:w="100" w:type="dxa"/>
              <w:right w:w="100" w:type="dxa"/>
            </w:tcMar>
            <w:vAlign w:val="center"/>
          </w:tcPr>
          <w:p w14:paraId="7690A42D" w14:textId="77777777" w:rsidR="00FF5C42" w:rsidRPr="004035CF" w:rsidRDefault="00C07C81" w:rsidP="008B2357">
            <w:pPr>
              <w:jc w:val="both"/>
            </w:pPr>
            <w:r w:rsidRPr="004035CF">
              <w:rPr>
                <w:rFonts w:eastAsia="Arial"/>
                <w:b/>
                <w:bCs/>
                <w:color w:val="FFC000"/>
              </w:rPr>
              <w:t>SEMESTRES 3-4</w:t>
            </w:r>
          </w:p>
          <w:p w14:paraId="7690A42E" w14:textId="77777777" w:rsidR="00FF5C42" w:rsidRPr="004035CF" w:rsidRDefault="00C07C81" w:rsidP="008B2357">
            <w:pPr>
              <w:spacing w:before="20"/>
              <w:jc w:val="both"/>
            </w:pPr>
            <w:r w:rsidRPr="004035CF">
              <w:rPr>
                <w:rFonts w:eastAsia="Arial"/>
                <w:i/>
                <w:iCs/>
                <w:color w:val="666666"/>
              </w:rPr>
              <w:t>DESARROLLO</w:t>
            </w:r>
          </w:p>
        </w:tc>
        <w:tc>
          <w:tcPr>
            <w:tcW w:w="2363"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20" w:type="dxa"/>
              <w:bottom w:w="80" w:type="dxa"/>
              <w:right w:w="120" w:type="dxa"/>
            </w:tcMar>
          </w:tcPr>
          <w:p w14:paraId="7690A42F" w14:textId="77777777" w:rsidR="00FF5C42" w:rsidRPr="004035CF" w:rsidRDefault="00C07C81" w:rsidP="008B2357">
            <w:pPr>
              <w:jc w:val="both"/>
            </w:pPr>
            <w:r w:rsidRPr="004035CF">
              <w:rPr>
                <w:rFonts w:eastAsia="Arial"/>
              </w:rPr>
              <w:t>• Metodología de diseño</w:t>
            </w:r>
          </w:p>
          <w:p w14:paraId="7690A430" w14:textId="77777777" w:rsidR="00FF5C42" w:rsidRPr="004035CF" w:rsidRDefault="00C07C81" w:rsidP="008B2357">
            <w:pPr>
              <w:spacing w:before="15"/>
              <w:jc w:val="both"/>
            </w:pPr>
            <w:r w:rsidRPr="004035CF">
              <w:rPr>
                <w:rFonts w:eastAsia="Arial"/>
              </w:rPr>
              <w:t>• Diseño de producto I</w:t>
            </w:r>
          </w:p>
          <w:p w14:paraId="7690A431" w14:textId="77777777" w:rsidR="00FF5C42" w:rsidRPr="004035CF" w:rsidRDefault="00C07C81" w:rsidP="008B2357">
            <w:pPr>
              <w:spacing w:before="15"/>
              <w:jc w:val="both"/>
            </w:pPr>
            <w:r w:rsidRPr="004035CF">
              <w:rPr>
                <w:rFonts w:eastAsia="Arial"/>
              </w:rPr>
              <w:lastRenderedPageBreak/>
              <w:t>• Comunicación de producto</w:t>
            </w:r>
          </w:p>
          <w:p w14:paraId="7690A432" w14:textId="77777777" w:rsidR="00FF5C42" w:rsidRPr="004035CF" w:rsidRDefault="00C07C81" w:rsidP="008B2357">
            <w:pPr>
              <w:spacing w:before="15"/>
              <w:jc w:val="both"/>
            </w:pPr>
            <w:r w:rsidRPr="004035CF">
              <w:rPr>
                <w:rFonts w:eastAsia="Arial"/>
              </w:rPr>
              <w:t>• Representación digital</w:t>
            </w:r>
          </w:p>
        </w:tc>
        <w:tc>
          <w:tcPr>
            <w:tcW w:w="2363"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20" w:type="dxa"/>
              <w:bottom w:w="80" w:type="dxa"/>
              <w:right w:w="120" w:type="dxa"/>
            </w:tcMar>
          </w:tcPr>
          <w:p w14:paraId="7690A433" w14:textId="77777777" w:rsidR="00FF5C42" w:rsidRPr="004035CF" w:rsidRDefault="00C07C81" w:rsidP="008B2357">
            <w:pPr>
              <w:jc w:val="both"/>
            </w:pPr>
            <w:r w:rsidRPr="004035CF">
              <w:rPr>
                <w:rFonts w:eastAsia="Arial"/>
              </w:rPr>
              <w:lastRenderedPageBreak/>
              <w:t>• CAD 2D y 3D</w:t>
            </w:r>
          </w:p>
          <w:p w14:paraId="7690A434" w14:textId="77777777" w:rsidR="00FF5C42" w:rsidRPr="004035CF" w:rsidRDefault="00C07C81" w:rsidP="008B2357">
            <w:pPr>
              <w:spacing w:before="15"/>
              <w:jc w:val="both"/>
            </w:pPr>
            <w:r w:rsidRPr="004035CF">
              <w:rPr>
                <w:rFonts w:eastAsia="Arial"/>
              </w:rPr>
              <w:t>• Materiales y procesos I</w:t>
            </w:r>
          </w:p>
          <w:p w14:paraId="7690A435" w14:textId="77777777" w:rsidR="00FF5C42" w:rsidRPr="004035CF" w:rsidRDefault="00C07C81" w:rsidP="008B2357">
            <w:pPr>
              <w:spacing w:before="15"/>
              <w:jc w:val="both"/>
            </w:pPr>
            <w:r w:rsidRPr="004035CF">
              <w:rPr>
                <w:rFonts w:eastAsia="Arial"/>
              </w:rPr>
              <w:t>• Modelado básico</w:t>
            </w:r>
          </w:p>
          <w:p w14:paraId="7690A436" w14:textId="77777777" w:rsidR="00FF5C42" w:rsidRPr="004035CF" w:rsidRDefault="00C07C81" w:rsidP="008B2357">
            <w:pPr>
              <w:spacing w:before="15"/>
              <w:jc w:val="both"/>
            </w:pPr>
            <w:r w:rsidRPr="004035CF">
              <w:rPr>
                <w:rFonts w:eastAsia="Arial"/>
              </w:rPr>
              <w:lastRenderedPageBreak/>
              <w:t>• Tecnologías de fabricación</w:t>
            </w:r>
          </w:p>
        </w:tc>
        <w:tc>
          <w:tcPr>
            <w:tcW w:w="2362"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20" w:type="dxa"/>
              <w:bottom w:w="80" w:type="dxa"/>
              <w:right w:w="120" w:type="dxa"/>
            </w:tcMar>
          </w:tcPr>
          <w:p w14:paraId="7690A437" w14:textId="77777777" w:rsidR="00FF5C42" w:rsidRPr="004035CF" w:rsidRDefault="00C07C81" w:rsidP="008B2357">
            <w:pPr>
              <w:jc w:val="both"/>
            </w:pPr>
            <w:r w:rsidRPr="004035CF">
              <w:rPr>
                <w:rFonts w:eastAsia="Arial"/>
              </w:rPr>
              <w:lastRenderedPageBreak/>
              <w:t>• Costos y presupuestos</w:t>
            </w:r>
          </w:p>
          <w:p w14:paraId="7690A438" w14:textId="77777777" w:rsidR="00FF5C42" w:rsidRPr="004035CF" w:rsidRDefault="00C07C81" w:rsidP="008B2357">
            <w:pPr>
              <w:spacing w:before="15"/>
              <w:jc w:val="both"/>
            </w:pPr>
            <w:r w:rsidRPr="004035CF">
              <w:rPr>
                <w:rFonts w:eastAsia="Arial"/>
              </w:rPr>
              <w:t>• Mercadotecnia del diseño</w:t>
            </w:r>
          </w:p>
        </w:tc>
        <w:tc>
          <w:tcPr>
            <w:tcW w:w="2362"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20" w:type="dxa"/>
              <w:bottom w:w="80" w:type="dxa"/>
              <w:right w:w="120" w:type="dxa"/>
            </w:tcMar>
          </w:tcPr>
          <w:p w14:paraId="7690A439" w14:textId="77777777" w:rsidR="00FF5C42" w:rsidRPr="004035CF" w:rsidRDefault="00C07C81" w:rsidP="008B2357">
            <w:pPr>
              <w:jc w:val="both"/>
            </w:pPr>
            <w:r w:rsidRPr="004035CF">
              <w:rPr>
                <w:rFonts w:eastAsia="Arial"/>
              </w:rPr>
              <w:t>• Ergonomía</w:t>
            </w:r>
          </w:p>
          <w:p w14:paraId="7690A43A" w14:textId="77777777" w:rsidR="00FF5C42" w:rsidRPr="004035CF" w:rsidRDefault="00C07C81" w:rsidP="008B2357">
            <w:pPr>
              <w:spacing w:before="15"/>
              <w:jc w:val="both"/>
            </w:pPr>
            <w:r w:rsidRPr="004035CF">
              <w:rPr>
                <w:rFonts w:eastAsia="Arial"/>
              </w:rPr>
              <w:t>• Investigación de usuarios</w:t>
            </w:r>
          </w:p>
          <w:p w14:paraId="7690A43B" w14:textId="77777777" w:rsidR="00FF5C42" w:rsidRPr="004035CF" w:rsidRDefault="00C07C81" w:rsidP="008B2357">
            <w:pPr>
              <w:spacing w:before="15"/>
              <w:jc w:val="both"/>
            </w:pPr>
            <w:r w:rsidRPr="004035CF">
              <w:rPr>
                <w:rFonts w:eastAsia="Arial"/>
              </w:rPr>
              <w:t>• Diseño incluyente</w:t>
            </w:r>
          </w:p>
        </w:tc>
      </w:tr>
      <w:tr w:rsidR="00FF5C42" w:rsidRPr="004035CF" w14:paraId="7690A44D" w14:textId="77777777">
        <w:tc>
          <w:tcPr>
            <w:tcW w:w="1350" w:type="dxa"/>
            <w:tcBorders>
              <w:top w:val="single" w:sz="1" w:space="0" w:color="999999"/>
              <w:left w:val="single" w:sz="1" w:space="0" w:color="999999"/>
              <w:bottom w:val="single" w:sz="1" w:space="0" w:color="999999"/>
              <w:right w:val="single" w:sz="1" w:space="0" w:color="999999"/>
            </w:tcBorders>
            <w:shd w:val="clear" w:color="FFFFFF" w:fill="FFF2CC"/>
            <w:tcMar>
              <w:top w:w="100" w:type="dxa"/>
              <w:left w:w="100" w:type="dxa"/>
              <w:bottom w:w="100" w:type="dxa"/>
              <w:right w:w="100" w:type="dxa"/>
            </w:tcMar>
            <w:vAlign w:val="center"/>
          </w:tcPr>
          <w:p w14:paraId="7690A43D" w14:textId="77777777" w:rsidR="00FF5C42" w:rsidRPr="004035CF" w:rsidRDefault="00C07C81" w:rsidP="008B2357">
            <w:pPr>
              <w:jc w:val="both"/>
            </w:pPr>
            <w:r w:rsidRPr="004035CF">
              <w:rPr>
                <w:rFonts w:eastAsia="Arial"/>
                <w:b/>
                <w:bCs/>
                <w:color w:val="FFC000"/>
              </w:rPr>
              <w:t>SEMESTRES 5-6</w:t>
            </w:r>
          </w:p>
          <w:p w14:paraId="7690A43E" w14:textId="77777777" w:rsidR="00FF5C42" w:rsidRPr="004035CF" w:rsidRDefault="00C07C81" w:rsidP="008B2357">
            <w:pPr>
              <w:spacing w:before="20"/>
              <w:jc w:val="both"/>
            </w:pPr>
            <w:r w:rsidRPr="004035CF">
              <w:rPr>
                <w:rFonts w:eastAsia="Arial"/>
                <w:i/>
                <w:iCs/>
                <w:color w:val="666666"/>
              </w:rPr>
              <w:t>PROFUNDIZACIÓN</w:t>
            </w:r>
          </w:p>
        </w:tc>
        <w:tc>
          <w:tcPr>
            <w:tcW w:w="2363"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20" w:type="dxa"/>
              <w:bottom w:w="80" w:type="dxa"/>
              <w:right w:w="120" w:type="dxa"/>
            </w:tcMar>
          </w:tcPr>
          <w:p w14:paraId="7690A43F" w14:textId="77777777" w:rsidR="00FF5C42" w:rsidRPr="004035CF" w:rsidRDefault="00C07C81" w:rsidP="008B2357">
            <w:pPr>
              <w:jc w:val="both"/>
            </w:pPr>
            <w:r w:rsidRPr="004035CF">
              <w:rPr>
                <w:rFonts w:eastAsia="Arial"/>
              </w:rPr>
              <w:t>• Diseño de producto II</w:t>
            </w:r>
          </w:p>
          <w:p w14:paraId="7690A440" w14:textId="77777777" w:rsidR="00FF5C42" w:rsidRPr="004035CF" w:rsidRDefault="00C07C81" w:rsidP="008B2357">
            <w:pPr>
              <w:spacing w:before="15"/>
              <w:jc w:val="both"/>
            </w:pPr>
            <w:r w:rsidRPr="004035CF">
              <w:rPr>
                <w:rFonts w:eastAsia="Arial"/>
              </w:rPr>
              <w:t>• Diseño de experiencias</w:t>
            </w:r>
          </w:p>
          <w:p w14:paraId="7690A441" w14:textId="77777777" w:rsidR="00FF5C42" w:rsidRPr="004035CF" w:rsidRDefault="00C07C81" w:rsidP="008B2357">
            <w:pPr>
              <w:spacing w:before="15"/>
              <w:jc w:val="both"/>
            </w:pPr>
            <w:r w:rsidRPr="004035CF">
              <w:rPr>
                <w:rFonts w:eastAsia="Arial"/>
              </w:rPr>
              <w:t>• Diseño de sistemas</w:t>
            </w:r>
          </w:p>
          <w:p w14:paraId="7690A442" w14:textId="77777777" w:rsidR="00FF5C42" w:rsidRPr="004035CF" w:rsidRDefault="00C07C81" w:rsidP="008B2357">
            <w:pPr>
              <w:spacing w:before="15"/>
              <w:jc w:val="both"/>
            </w:pPr>
            <w:r w:rsidRPr="004035CF">
              <w:rPr>
                <w:rFonts w:eastAsia="Arial"/>
              </w:rPr>
              <w:t>• Innovación</w:t>
            </w:r>
          </w:p>
        </w:tc>
        <w:tc>
          <w:tcPr>
            <w:tcW w:w="2363"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20" w:type="dxa"/>
              <w:bottom w:w="80" w:type="dxa"/>
              <w:right w:w="120" w:type="dxa"/>
            </w:tcMar>
          </w:tcPr>
          <w:p w14:paraId="7690A443" w14:textId="77777777" w:rsidR="00FF5C42" w:rsidRPr="004035CF" w:rsidRDefault="00C07C81" w:rsidP="008B2357">
            <w:pPr>
              <w:jc w:val="both"/>
            </w:pPr>
            <w:r w:rsidRPr="004035CF">
              <w:rPr>
                <w:rFonts w:eastAsia="Arial"/>
              </w:rPr>
              <w:t>• Materiales y procesos II</w:t>
            </w:r>
          </w:p>
          <w:p w14:paraId="7690A444" w14:textId="77777777" w:rsidR="00FF5C42" w:rsidRPr="004035CF" w:rsidRDefault="00C07C81" w:rsidP="008B2357">
            <w:pPr>
              <w:spacing w:before="15"/>
              <w:jc w:val="both"/>
            </w:pPr>
            <w:r w:rsidRPr="004035CF">
              <w:rPr>
                <w:rFonts w:eastAsia="Arial"/>
              </w:rPr>
              <w:t>• Prototipado rápido</w:t>
            </w:r>
          </w:p>
          <w:p w14:paraId="7690A445" w14:textId="77777777" w:rsidR="00FF5C42" w:rsidRPr="004035CF" w:rsidRDefault="00C07C81" w:rsidP="008B2357">
            <w:pPr>
              <w:spacing w:before="15"/>
              <w:jc w:val="both"/>
            </w:pPr>
            <w:r w:rsidRPr="004035CF">
              <w:rPr>
                <w:rFonts w:eastAsia="Arial"/>
              </w:rPr>
              <w:t>• Ingeniería de manufactura</w:t>
            </w:r>
          </w:p>
          <w:p w14:paraId="7690A446" w14:textId="77777777" w:rsidR="00FF5C42" w:rsidRPr="004035CF" w:rsidRDefault="00C07C81" w:rsidP="008B2357">
            <w:pPr>
              <w:spacing w:before="15"/>
              <w:jc w:val="both"/>
            </w:pPr>
            <w:r w:rsidRPr="004035CF">
              <w:rPr>
                <w:rFonts w:eastAsia="Arial"/>
              </w:rPr>
              <w:t>• Modelado avanzado</w:t>
            </w:r>
          </w:p>
        </w:tc>
        <w:tc>
          <w:tcPr>
            <w:tcW w:w="2362"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20" w:type="dxa"/>
              <w:bottom w:w="80" w:type="dxa"/>
              <w:right w:w="120" w:type="dxa"/>
            </w:tcMar>
          </w:tcPr>
          <w:p w14:paraId="7690A447" w14:textId="77777777" w:rsidR="00FF5C42" w:rsidRPr="004035CF" w:rsidRDefault="00C07C81" w:rsidP="008B2357">
            <w:pPr>
              <w:jc w:val="both"/>
            </w:pPr>
            <w:r w:rsidRPr="004035CF">
              <w:rPr>
                <w:rFonts w:eastAsia="Arial"/>
              </w:rPr>
              <w:t>• Gestión de proyectos</w:t>
            </w:r>
          </w:p>
          <w:p w14:paraId="7690A448" w14:textId="77777777" w:rsidR="00FF5C42" w:rsidRPr="004035CF" w:rsidRDefault="00C07C81" w:rsidP="008B2357">
            <w:pPr>
              <w:spacing w:before="15"/>
              <w:jc w:val="both"/>
            </w:pPr>
            <w:r w:rsidRPr="004035CF">
              <w:rPr>
                <w:rFonts w:eastAsia="Arial"/>
              </w:rPr>
              <w:t>• Emprendimiento</w:t>
            </w:r>
          </w:p>
          <w:p w14:paraId="7690A449" w14:textId="77777777" w:rsidR="00FF5C42" w:rsidRPr="004035CF" w:rsidRDefault="00C07C81" w:rsidP="008B2357">
            <w:pPr>
              <w:spacing w:before="15"/>
              <w:jc w:val="both"/>
            </w:pPr>
            <w:r w:rsidRPr="004035CF">
              <w:rPr>
                <w:rFonts w:eastAsia="Arial"/>
              </w:rPr>
              <w:t>• Modelos de negocio</w:t>
            </w:r>
          </w:p>
        </w:tc>
        <w:tc>
          <w:tcPr>
            <w:tcW w:w="2362"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20" w:type="dxa"/>
              <w:bottom w:w="80" w:type="dxa"/>
              <w:right w:w="120" w:type="dxa"/>
            </w:tcMar>
          </w:tcPr>
          <w:p w14:paraId="7690A44A" w14:textId="77777777" w:rsidR="00FF5C42" w:rsidRPr="004035CF" w:rsidRDefault="00C07C81" w:rsidP="008B2357">
            <w:pPr>
              <w:jc w:val="both"/>
            </w:pPr>
            <w:r w:rsidRPr="004035CF">
              <w:rPr>
                <w:rFonts w:eastAsia="Arial"/>
              </w:rPr>
              <w:t>• Sustentabilidad</w:t>
            </w:r>
          </w:p>
          <w:p w14:paraId="7690A44B" w14:textId="77777777" w:rsidR="00FF5C42" w:rsidRPr="004035CF" w:rsidRDefault="00C07C81" w:rsidP="008B2357">
            <w:pPr>
              <w:spacing w:before="15"/>
              <w:jc w:val="both"/>
            </w:pPr>
            <w:r w:rsidRPr="004035CF">
              <w:rPr>
                <w:rFonts w:eastAsia="Arial"/>
              </w:rPr>
              <w:t>• Ética profesional</w:t>
            </w:r>
          </w:p>
          <w:p w14:paraId="7690A44C" w14:textId="77777777" w:rsidR="00FF5C42" w:rsidRPr="004035CF" w:rsidRDefault="00C07C81" w:rsidP="008B2357">
            <w:pPr>
              <w:spacing w:before="15"/>
              <w:jc w:val="both"/>
            </w:pPr>
            <w:r w:rsidRPr="004035CF">
              <w:rPr>
                <w:rFonts w:eastAsia="Arial"/>
              </w:rPr>
              <w:t>• Diseño para el contexto local</w:t>
            </w:r>
          </w:p>
        </w:tc>
      </w:tr>
      <w:tr w:rsidR="00FF5C42" w:rsidRPr="004035CF" w14:paraId="7690A45D" w14:textId="77777777">
        <w:tc>
          <w:tcPr>
            <w:tcW w:w="1350" w:type="dxa"/>
            <w:tcBorders>
              <w:top w:val="single" w:sz="1" w:space="0" w:color="999999"/>
              <w:left w:val="single" w:sz="1" w:space="0" w:color="999999"/>
              <w:bottom w:val="single" w:sz="1" w:space="0" w:color="999999"/>
              <w:right w:val="single" w:sz="1" w:space="0" w:color="999999"/>
            </w:tcBorders>
            <w:shd w:val="clear" w:color="FFFFFF" w:fill="FFF2CC"/>
            <w:tcMar>
              <w:top w:w="100" w:type="dxa"/>
              <w:left w:w="100" w:type="dxa"/>
              <w:bottom w:w="100" w:type="dxa"/>
              <w:right w:w="100" w:type="dxa"/>
            </w:tcMar>
            <w:vAlign w:val="center"/>
          </w:tcPr>
          <w:p w14:paraId="7690A44E" w14:textId="77777777" w:rsidR="00FF5C42" w:rsidRPr="004035CF" w:rsidRDefault="00C07C81" w:rsidP="008B2357">
            <w:pPr>
              <w:jc w:val="both"/>
            </w:pPr>
            <w:r w:rsidRPr="004035CF">
              <w:rPr>
                <w:rFonts w:eastAsia="Arial"/>
                <w:b/>
                <w:bCs/>
                <w:color w:val="FFC000"/>
              </w:rPr>
              <w:t>SEMESTRES 7-8</w:t>
            </w:r>
          </w:p>
          <w:p w14:paraId="7690A44F" w14:textId="77777777" w:rsidR="00FF5C42" w:rsidRPr="004035CF" w:rsidRDefault="00C07C81" w:rsidP="008B2357">
            <w:pPr>
              <w:spacing w:before="20"/>
              <w:jc w:val="both"/>
            </w:pPr>
            <w:r w:rsidRPr="004035CF">
              <w:rPr>
                <w:rFonts w:eastAsia="Arial"/>
                <w:i/>
                <w:iCs/>
                <w:color w:val="666666"/>
              </w:rPr>
              <w:t>ESPECIALIZACIÓN</w:t>
            </w:r>
          </w:p>
        </w:tc>
        <w:tc>
          <w:tcPr>
            <w:tcW w:w="2363"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20" w:type="dxa"/>
              <w:bottom w:w="80" w:type="dxa"/>
              <w:right w:w="120" w:type="dxa"/>
            </w:tcMar>
          </w:tcPr>
          <w:p w14:paraId="7690A450" w14:textId="77777777" w:rsidR="00FF5C42" w:rsidRPr="004035CF" w:rsidRDefault="00C07C81" w:rsidP="008B2357">
            <w:pPr>
              <w:jc w:val="both"/>
            </w:pPr>
            <w:r w:rsidRPr="004035CF">
              <w:rPr>
                <w:rFonts w:eastAsia="Arial"/>
              </w:rPr>
              <w:t>• Diseño de servicios</w:t>
            </w:r>
          </w:p>
          <w:p w14:paraId="7690A451" w14:textId="77777777" w:rsidR="00FF5C42" w:rsidRPr="004035CF" w:rsidRDefault="00C07C81" w:rsidP="008B2357">
            <w:pPr>
              <w:spacing w:before="15"/>
              <w:jc w:val="both"/>
            </w:pPr>
            <w:r w:rsidRPr="004035CF">
              <w:rPr>
                <w:rFonts w:eastAsia="Arial"/>
              </w:rPr>
              <w:t>• Diseño estratégico</w:t>
            </w:r>
          </w:p>
          <w:p w14:paraId="7690A452" w14:textId="77777777" w:rsidR="00FF5C42" w:rsidRPr="004035CF" w:rsidRDefault="00C07C81" w:rsidP="008B2357">
            <w:pPr>
              <w:spacing w:before="15"/>
              <w:jc w:val="both"/>
            </w:pPr>
            <w:r w:rsidRPr="004035CF">
              <w:rPr>
                <w:rFonts w:eastAsia="Arial"/>
              </w:rPr>
              <w:t>• Taller de especialidad</w:t>
            </w:r>
          </w:p>
          <w:p w14:paraId="7690A453" w14:textId="77777777" w:rsidR="00FF5C42" w:rsidRPr="004035CF" w:rsidRDefault="00C07C81" w:rsidP="008B2357">
            <w:pPr>
              <w:spacing w:before="15"/>
              <w:jc w:val="both"/>
            </w:pPr>
            <w:r w:rsidRPr="004035CF">
              <w:rPr>
                <w:rFonts w:eastAsia="Arial"/>
              </w:rPr>
              <w:t>• Proyecto integrador I</w:t>
            </w:r>
          </w:p>
        </w:tc>
        <w:tc>
          <w:tcPr>
            <w:tcW w:w="2363"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20" w:type="dxa"/>
              <w:bottom w:w="80" w:type="dxa"/>
              <w:right w:w="120" w:type="dxa"/>
            </w:tcMar>
          </w:tcPr>
          <w:p w14:paraId="7690A454" w14:textId="77777777" w:rsidR="00FF5C42" w:rsidRPr="004035CF" w:rsidRDefault="00C07C81" w:rsidP="008B2357">
            <w:pPr>
              <w:jc w:val="both"/>
            </w:pPr>
            <w:r w:rsidRPr="004035CF">
              <w:rPr>
                <w:rFonts w:eastAsia="Arial"/>
              </w:rPr>
              <w:t>• Manufactura avanzada</w:t>
            </w:r>
          </w:p>
          <w:p w14:paraId="7690A455" w14:textId="77777777" w:rsidR="00FF5C42" w:rsidRPr="004035CF" w:rsidRDefault="00C07C81" w:rsidP="008B2357">
            <w:pPr>
              <w:spacing w:before="15"/>
              <w:jc w:val="both"/>
            </w:pPr>
            <w:r w:rsidRPr="004035CF">
              <w:rPr>
                <w:rFonts w:eastAsia="Arial"/>
              </w:rPr>
              <w:t>• Control de calidad</w:t>
            </w:r>
          </w:p>
          <w:p w14:paraId="7690A456" w14:textId="77777777" w:rsidR="00FF5C42" w:rsidRPr="004035CF" w:rsidRDefault="00C07C81" w:rsidP="008B2357">
            <w:pPr>
              <w:spacing w:before="15"/>
              <w:jc w:val="both"/>
            </w:pPr>
            <w:r w:rsidRPr="004035CF">
              <w:rPr>
                <w:rFonts w:eastAsia="Arial"/>
              </w:rPr>
              <w:t>• Tecnologías emergentes</w:t>
            </w:r>
          </w:p>
        </w:tc>
        <w:tc>
          <w:tcPr>
            <w:tcW w:w="2362"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20" w:type="dxa"/>
              <w:bottom w:w="80" w:type="dxa"/>
              <w:right w:w="120" w:type="dxa"/>
            </w:tcMar>
          </w:tcPr>
          <w:p w14:paraId="7690A457" w14:textId="77777777" w:rsidR="00FF5C42" w:rsidRPr="004035CF" w:rsidRDefault="00C07C81" w:rsidP="008B2357">
            <w:pPr>
              <w:jc w:val="both"/>
            </w:pPr>
            <w:r w:rsidRPr="004035CF">
              <w:rPr>
                <w:rFonts w:eastAsia="Arial"/>
                <w:b/>
                <w:bCs/>
              </w:rPr>
              <w:t>• Propiedad intelectual</w:t>
            </w:r>
          </w:p>
          <w:p w14:paraId="7690A458" w14:textId="77777777" w:rsidR="00FF5C42" w:rsidRPr="004035CF" w:rsidRDefault="00C07C81" w:rsidP="008B2357">
            <w:pPr>
              <w:spacing w:before="15"/>
              <w:jc w:val="both"/>
            </w:pPr>
            <w:r w:rsidRPr="004035CF">
              <w:rPr>
                <w:rFonts w:eastAsia="Arial"/>
              </w:rPr>
              <w:t>• Plan de negocios</w:t>
            </w:r>
          </w:p>
          <w:p w14:paraId="7690A459" w14:textId="77777777" w:rsidR="00FF5C42" w:rsidRPr="004035CF" w:rsidRDefault="00C07C81" w:rsidP="008B2357">
            <w:pPr>
              <w:spacing w:before="15"/>
              <w:jc w:val="both"/>
            </w:pPr>
            <w:r w:rsidRPr="004035CF">
              <w:rPr>
                <w:rFonts w:eastAsia="Arial"/>
              </w:rPr>
              <w:t>• Vinculación con industria</w:t>
            </w:r>
          </w:p>
        </w:tc>
        <w:tc>
          <w:tcPr>
            <w:tcW w:w="2362"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20" w:type="dxa"/>
              <w:bottom w:w="80" w:type="dxa"/>
              <w:right w:w="120" w:type="dxa"/>
            </w:tcMar>
          </w:tcPr>
          <w:p w14:paraId="7690A45A" w14:textId="77777777" w:rsidR="00FF5C42" w:rsidRPr="004035CF" w:rsidRDefault="00C07C81" w:rsidP="008B2357">
            <w:pPr>
              <w:jc w:val="both"/>
            </w:pPr>
            <w:r w:rsidRPr="004035CF">
              <w:rPr>
                <w:rFonts w:eastAsia="Arial"/>
              </w:rPr>
              <w:t>• Diseño social</w:t>
            </w:r>
          </w:p>
          <w:p w14:paraId="7690A45B" w14:textId="77777777" w:rsidR="00FF5C42" w:rsidRPr="004035CF" w:rsidRDefault="00C07C81" w:rsidP="008B2357">
            <w:pPr>
              <w:spacing w:before="15"/>
              <w:jc w:val="both"/>
            </w:pPr>
            <w:r w:rsidRPr="004035CF">
              <w:rPr>
                <w:rFonts w:eastAsia="Arial"/>
              </w:rPr>
              <w:t>• Impacto ambiental</w:t>
            </w:r>
          </w:p>
          <w:p w14:paraId="7690A45C" w14:textId="77777777" w:rsidR="00FF5C42" w:rsidRPr="004035CF" w:rsidRDefault="00C07C81" w:rsidP="008B2357">
            <w:pPr>
              <w:spacing w:before="15"/>
              <w:jc w:val="both"/>
            </w:pPr>
            <w:r w:rsidRPr="004035CF">
              <w:rPr>
                <w:rFonts w:eastAsia="Arial"/>
              </w:rPr>
              <w:t>• Economía circular</w:t>
            </w:r>
          </w:p>
        </w:tc>
      </w:tr>
      <w:tr w:rsidR="00FF5C42" w:rsidRPr="004035CF" w14:paraId="7690A469" w14:textId="77777777">
        <w:tc>
          <w:tcPr>
            <w:tcW w:w="1350" w:type="dxa"/>
            <w:tcBorders>
              <w:top w:val="single" w:sz="1" w:space="0" w:color="999999"/>
              <w:left w:val="single" w:sz="1" w:space="0" w:color="999999"/>
              <w:bottom w:val="single" w:sz="1" w:space="0" w:color="999999"/>
              <w:right w:val="single" w:sz="1" w:space="0" w:color="999999"/>
            </w:tcBorders>
            <w:shd w:val="clear" w:color="FFFFFF" w:fill="FFF2CC"/>
            <w:tcMar>
              <w:top w:w="100" w:type="dxa"/>
              <w:left w:w="100" w:type="dxa"/>
              <w:bottom w:w="100" w:type="dxa"/>
              <w:right w:w="100" w:type="dxa"/>
            </w:tcMar>
            <w:vAlign w:val="center"/>
          </w:tcPr>
          <w:p w14:paraId="7690A45E" w14:textId="77777777" w:rsidR="00FF5C42" w:rsidRPr="004035CF" w:rsidRDefault="00C07C81" w:rsidP="008B2357">
            <w:pPr>
              <w:jc w:val="both"/>
            </w:pPr>
            <w:r w:rsidRPr="004035CF">
              <w:rPr>
                <w:rFonts w:eastAsia="Arial"/>
                <w:b/>
                <w:bCs/>
                <w:color w:val="FFC000"/>
              </w:rPr>
              <w:t>SEMESTRES 9-10</w:t>
            </w:r>
          </w:p>
          <w:p w14:paraId="7690A45F" w14:textId="77777777" w:rsidR="00FF5C42" w:rsidRPr="004035CF" w:rsidRDefault="00C07C81" w:rsidP="008B2357">
            <w:pPr>
              <w:spacing w:before="20"/>
              <w:jc w:val="both"/>
            </w:pPr>
            <w:r w:rsidRPr="004035CF">
              <w:rPr>
                <w:rFonts w:eastAsia="Arial"/>
                <w:i/>
                <w:iCs/>
                <w:color w:val="666666"/>
              </w:rPr>
              <w:t>INTEGRACIÓN PROFESIONAL</w:t>
            </w:r>
          </w:p>
        </w:tc>
        <w:tc>
          <w:tcPr>
            <w:tcW w:w="2363" w:type="dxa"/>
            <w:tcBorders>
              <w:top w:val="single" w:sz="1" w:space="0" w:color="999999"/>
              <w:left w:val="single" w:sz="1" w:space="0" w:color="999999"/>
              <w:bottom w:val="single" w:sz="1" w:space="0" w:color="999999"/>
              <w:right w:val="single" w:sz="1" w:space="0" w:color="999999"/>
            </w:tcBorders>
            <w:shd w:val="clear" w:color="FFFFFF" w:fill="D6E4F0"/>
            <w:tcMar>
              <w:top w:w="80" w:type="dxa"/>
              <w:left w:w="120" w:type="dxa"/>
              <w:bottom w:w="80" w:type="dxa"/>
              <w:right w:w="120" w:type="dxa"/>
            </w:tcMar>
          </w:tcPr>
          <w:p w14:paraId="7690A460" w14:textId="77777777" w:rsidR="00FF5C42" w:rsidRPr="004035CF" w:rsidRDefault="00C07C81" w:rsidP="008B2357">
            <w:pPr>
              <w:jc w:val="both"/>
            </w:pPr>
            <w:r w:rsidRPr="004035CF">
              <w:rPr>
                <w:rFonts w:eastAsia="Arial"/>
                <w:b/>
                <w:bCs/>
              </w:rPr>
              <w:t>• Proyecto terminal</w:t>
            </w:r>
          </w:p>
          <w:p w14:paraId="7690A461" w14:textId="77777777" w:rsidR="00FF5C42" w:rsidRPr="004035CF" w:rsidRDefault="00C07C81" w:rsidP="008B2357">
            <w:pPr>
              <w:spacing w:before="15"/>
              <w:jc w:val="both"/>
            </w:pPr>
            <w:r w:rsidRPr="004035CF">
              <w:rPr>
                <w:rFonts w:eastAsia="Arial"/>
              </w:rPr>
              <w:t>• Seminario de titulación</w:t>
            </w:r>
          </w:p>
          <w:p w14:paraId="7690A462" w14:textId="77777777" w:rsidR="00FF5C42" w:rsidRPr="004035CF" w:rsidRDefault="00C07C81" w:rsidP="008B2357">
            <w:pPr>
              <w:spacing w:before="15"/>
              <w:jc w:val="both"/>
            </w:pPr>
            <w:r w:rsidRPr="004035CF">
              <w:rPr>
                <w:rFonts w:eastAsia="Arial"/>
              </w:rPr>
              <w:t>• Portfolio profesional</w:t>
            </w:r>
          </w:p>
        </w:tc>
        <w:tc>
          <w:tcPr>
            <w:tcW w:w="2363" w:type="dxa"/>
            <w:tcBorders>
              <w:top w:val="single" w:sz="1" w:space="0" w:color="999999"/>
              <w:left w:val="single" w:sz="1" w:space="0" w:color="999999"/>
              <w:bottom w:val="single" w:sz="1" w:space="0" w:color="999999"/>
              <w:right w:val="single" w:sz="1" w:space="0" w:color="999999"/>
            </w:tcBorders>
            <w:shd w:val="clear" w:color="FFFFFF" w:fill="E2EFDA"/>
            <w:tcMar>
              <w:top w:w="80" w:type="dxa"/>
              <w:left w:w="120" w:type="dxa"/>
              <w:bottom w:w="80" w:type="dxa"/>
              <w:right w:w="120" w:type="dxa"/>
            </w:tcMar>
          </w:tcPr>
          <w:p w14:paraId="7690A463" w14:textId="77777777" w:rsidR="00FF5C42" w:rsidRPr="004035CF" w:rsidRDefault="00C07C81" w:rsidP="008B2357">
            <w:pPr>
              <w:jc w:val="both"/>
            </w:pPr>
            <w:r w:rsidRPr="004035CF">
              <w:rPr>
                <w:rFonts w:eastAsia="Arial"/>
              </w:rPr>
              <w:t>• Desarrollo técnico completo del proyecto terminal</w:t>
            </w:r>
          </w:p>
          <w:p w14:paraId="7690A464" w14:textId="77777777" w:rsidR="00FF5C42" w:rsidRPr="004035CF" w:rsidRDefault="00C07C81" w:rsidP="008B2357">
            <w:pPr>
              <w:spacing w:before="15"/>
              <w:jc w:val="both"/>
            </w:pPr>
            <w:r w:rsidRPr="004035CF">
              <w:rPr>
                <w:rFonts w:eastAsia="Arial"/>
              </w:rPr>
              <w:t>• Validación técnica</w:t>
            </w:r>
          </w:p>
        </w:tc>
        <w:tc>
          <w:tcPr>
            <w:tcW w:w="2362" w:type="dxa"/>
            <w:tcBorders>
              <w:top w:val="single" w:sz="1" w:space="0" w:color="999999"/>
              <w:left w:val="single" w:sz="1" w:space="0" w:color="999999"/>
              <w:bottom w:val="single" w:sz="1" w:space="0" w:color="999999"/>
              <w:right w:val="single" w:sz="1" w:space="0" w:color="999999"/>
            </w:tcBorders>
            <w:shd w:val="clear" w:color="FFFFFF" w:fill="FCE4D6"/>
            <w:tcMar>
              <w:top w:w="80" w:type="dxa"/>
              <w:left w:w="120" w:type="dxa"/>
              <w:bottom w:w="80" w:type="dxa"/>
              <w:right w:w="120" w:type="dxa"/>
            </w:tcMar>
          </w:tcPr>
          <w:p w14:paraId="7690A465" w14:textId="77777777" w:rsidR="00FF5C42" w:rsidRPr="004035CF" w:rsidRDefault="00C07C81" w:rsidP="008B2357">
            <w:pPr>
              <w:jc w:val="both"/>
            </w:pPr>
            <w:r w:rsidRPr="004035CF">
              <w:rPr>
                <w:rFonts w:eastAsia="Arial"/>
              </w:rPr>
              <w:t>• Pitch y presentación ejecutiva</w:t>
            </w:r>
          </w:p>
          <w:p w14:paraId="7690A466" w14:textId="77777777" w:rsidR="00FF5C42" w:rsidRPr="004035CF" w:rsidRDefault="00C07C81" w:rsidP="008B2357">
            <w:pPr>
              <w:spacing w:before="15"/>
              <w:jc w:val="both"/>
            </w:pPr>
            <w:r w:rsidRPr="004035CF">
              <w:rPr>
                <w:rFonts w:eastAsia="Arial"/>
              </w:rPr>
              <w:t>• Estrategia de comercialización</w:t>
            </w:r>
          </w:p>
        </w:tc>
        <w:tc>
          <w:tcPr>
            <w:tcW w:w="2362" w:type="dxa"/>
            <w:tcBorders>
              <w:top w:val="single" w:sz="1" w:space="0" w:color="999999"/>
              <w:left w:val="single" w:sz="1" w:space="0" w:color="999999"/>
              <w:bottom w:val="single" w:sz="1" w:space="0" w:color="999999"/>
              <w:right w:val="single" w:sz="1" w:space="0" w:color="999999"/>
            </w:tcBorders>
            <w:shd w:val="clear" w:color="FFFFFF" w:fill="E4DFEC"/>
            <w:tcMar>
              <w:top w:w="80" w:type="dxa"/>
              <w:left w:w="120" w:type="dxa"/>
              <w:bottom w:w="80" w:type="dxa"/>
              <w:right w:w="120" w:type="dxa"/>
            </w:tcMar>
          </w:tcPr>
          <w:p w14:paraId="7690A467" w14:textId="77777777" w:rsidR="00FF5C42" w:rsidRPr="004035CF" w:rsidRDefault="00C07C81" w:rsidP="008B2357">
            <w:pPr>
              <w:jc w:val="both"/>
            </w:pPr>
            <w:r w:rsidRPr="004035CF">
              <w:rPr>
                <w:rFonts w:eastAsia="Arial"/>
              </w:rPr>
              <w:t>• Evaluación de impacto social y ambiental</w:t>
            </w:r>
          </w:p>
          <w:p w14:paraId="7690A468" w14:textId="77777777" w:rsidR="00FF5C42" w:rsidRPr="004035CF" w:rsidRDefault="00C07C81" w:rsidP="008B2357">
            <w:pPr>
              <w:spacing w:before="15"/>
              <w:jc w:val="both"/>
            </w:pPr>
            <w:r w:rsidRPr="004035CF">
              <w:rPr>
                <w:rFonts w:eastAsia="Arial"/>
              </w:rPr>
              <w:t>• Práctica profesional</w:t>
            </w:r>
          </w:p>
        </w:tc>
      </w:tr>
    </w:tbl>
    <w:p w14:paraId="7690A46A" w14:textId="77777777" w:rsidR="00FF5C42" w:rsidRPr="004035CF" w:rsidRDefault="00FF5C42" w:rsidP="008B2357">
      <w:pPr>
        <w:spacing w:before="160" w:after="80"/>
        <w:jc w:val="both"/>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0"/>
      </w:tblGrid>
      <w:tr w:rsidR="00FF5C42" w:rsidRPr="004035CF" w14:paraId="7690A472" w14:textId="77777777">
        <w:tc>
          <w:tcPr>
            <w:tcW w:w="10800" w:type="dxa"/>
            <w:tcBorders>
              <w:top w:val="single" w:sz="1" w:space="0" w:color="999999"/>
              <w:left w:val="single" w:sz="1" w:space="0" w:color="999999"/>
              <w:bottom w:val="single" w:sz="1" w:space="0" w:color="999999"/>
              <w:right w:val="single" w:sz="1" w:space="0" w:color="999999"/>
            </w:tcBorders>
            <w:shd w:val="clear" w:color="FFFFFF" w:fill="F2F2F2"/>
            <w:tcMar>
              <w:top w:w="100" w:type="dxa"/>
              <w:left w:w="160" w:type="dxa"/>
              <w:bottom w:w="100" w:type="dxa"/>
              <w:right w:w="160" w:type="dxa"/>
            </w:tcMar>
          </w:tcPr>
          <w:p w14:paraId="7690A46B" w14:textId="77777777" w:rsidR="00FF5C42" w:rsidRPr="004035CF" w:rsidRDefault="00C07C81" w:rsidP="008B2357">
            <w:pPr>
              <w:jc w:val="both"/>
            </w:pPr>
            <w:r w:rsidRPr="004035CF">
              <w:rPr>
                <w:rFonts w:eastAsia="Arial"/>
                <w:b/>
                <w:bCs/>
                <w:color w:val="2E74B5"/>
              </w:rPr>
              <w:t>NOTAS SOBRE EL MODELO:</w:t>
            </w:r>
          </w:p>
          <w:p w14:paraId="7690A46C" w14:textId="77777777" w:rsidR="00FF5C42" w:rsidRPr="004035CF" w:rsidRDefault="00C07C81" w:rsidP="008B2357">
            <w:pPr>
              <w:spacing w:before="50"/>
              <w:jc w:val="both"/>
            </w:pPr>
            <w:r w:rsidRPr="004035CF">
              <w:rPr>
                <w:rFonts w:eastAsia="Arial"/>
              </w:rPr>
              <w:t>1. Modelo integrado: Las competencias no se desarrollan de manera aislada. Los proyectos semestrales integran los cuatro ejes simultáneamente.</w:t>
            </w:r>
          </w:p>
          <w:p w14:paraId="7690A46D" w14:textId="77777777" w:rsidR="00FF5C42" w:rsidRPr="004035CF" w:rsidRDefault="00C07C81" w:rsidP="008B2357">
            <w:pPr>
              <w:spacing w:before="40"/>
              <w:jc w:val="both"/>
            </w:pPr>
            <w:r w:rsidRPr="004035CF">
              <w:rPr>
                <w:rFonts w:eastAsia="Arial"/>
              </w:rPr>
              <w:t xml:space="preserve">2. Progresión espiral: El estudiante regresa a temas fundamentales con mayor profundidad en cada nivel. Por ejemplo, 'materiales' se ve en </w:t>
            </w:r>
            <w:proofErr w:type="spellStart"/>
            <w:r w:rsidRPr="004035CF">
              <w:rPr>
                <w:rFonts w:eastAsia="Arial"/>
              </w:rPr>
              <w:t>sem</w:t>
            </w:r>
            <w:proofErr w:type="spellEnd"/>
            <w:r w:rsidRPr="004035CF">
              <w:rPr>
                <w:rFonts w:eastAsia="Arial"/>
              </w:rPr>
              <w:t>. 1-2 (</w:t>
            </w:r>
            <w:proofErr w:type="spellStart"/>
            <w:r w:rsidRPr="004035CF">
              <w:rPr>
                <w:rFonts w:eastAsia="Arial"/>
              </w:rPr>
              <w:t>intro</w:t>
            </w:r>
            <w:proofErr w:type="spellEnd"/>
            <w:r w:rsidRPr="004035CF">
              <w:rPr>
                <w:rFonts w:eastAsia="Arial"/>
              </w:rPr>
              <w:t>), 3-4 (aplicación básica), 5-6 (profundización) y 7-8 (especialización).</w:t>
            </w:r>
          </w:p>
          <w:p w14:paraId="7690A46E" w14:textId="77777777" w:rsidR="00FF5C42" w:rsidRPr="004035CF" w:rsidRDefault="00C07C81" w:rsidP="008B2357">
            <w:pPr>
              <w:spacing w:before="40"/>
              <w:jc w:val="both"/>
            </w:pPr>
            <w:r w:rsidRPr="004035CF">
              <w:rPr>
                <w:rFonts w:eastAsia="Arial"/>
                <w:b/>
                <w:bCs/>
                <w:color w:val="C00000"/>
              </w:rPr>
              <w:t>3. Énfasis en Propiedad Intelectual: Se destaca la inclusión de esta competencia en semestres 7-8 (eje de Gestión e Innovación), actualmente ausente como materia específica en la mayoría de planes de estudio mexicanos según análisis previo.</w:t>
            </w:r>
          </w:p>
          <w:p w14:paraId="7690A46F" w14:textId="77777777" w:rsidR="00FF5C42" w:rsidRPr="004035CF" w:rsidRDefault="00C07C81" w:rsidP="008B2357">
            <w:pPr>
              <w:spacing w:before="40"/>
              <w:jc w:val="both"/>
            </w:pPr>
            <w:r w:rsidRPr="004035CF">
              <w:rPr>
                <w:rFonts w:eastAsia="Arial"/>
              </w:rPr>
              <w:t>4. Flexibilidad curricular: Este modelo permite que las instituciones adapten las asignaturas específicas manteniendo la estructura de competencias. No todas las instituciones ofrecen exactamente las mismas materias, pero sí deben cubrir las competencias.</w:t>
            </w:r>
          </w:p>
          <w:p w14:paraId="7690A470" w14:textId="77777777" w:rsidR="00FF5C42" w:rsidRPr="004035CF" w:rsidRDefault="00C07C81" w:rsidP="008B2357">
            <w:pPr>
              <w:spacing w:before="40"/>
              <w:jc w:val="both"/>
            </w:pPr>
            <w:r w:rsidRPr="004035CF">
              <w:rPr>
                <w:rFonts w:eastAsia="Arial"/>
              </w:rPr>
              <w:t>5. Evaluación por competencias: Se sugiere que cada nivel tenga indicadores de logro específicos y evaluación formativa continua, no solo calificaciones por asignatura.</w:t>
            </w:r>
          </w:p>
          <w:p w14:paraId="7690A471" w14:textId="77777777" w:rsidR="00FF5C42" w:rsidRPr="004035CF" w:rsidRDefault="00C07C81" w:rsidP="008B2357">
            <w:pPr>
              <w:spacing w:before="40"/>
              <w:jc w:val="both"/>
            </w:pPr>
            <w:r w:rsidRPr="004035CF">
              <w:rPr>
                <w:rFonts w:eastAsia="Arial"/>
              </w:rPr>
              <w:t>6. Transversalidad: Competencias como sustentabilidad, ética y diseño centrado en usuario deben permear TODOS los proyectos desde el semestre 1, no solo aparecer como materias aisladas.</w:t>
            </w:r>
          </w:p>
        </w:tc>
      </w:tr>
    </w:tbl>
    <w:p w14:paraId="7690A473" w14:textId="77777777" w:rsidR="00FF5C42" w:rsidRPr="004035CF" w:rsidRDefault="00C07C81" w:rsidP="008B2357">
      <w:pPr>
        <w:spacing w:before="120"/>
        <w:jc w:val="both"/>
      </w:pPr>
      <w:r w:rsidRPr="004035CF">
        <w:rPr>
          <w:rFonts w:eastAsia="Arial"/>
          <w:i/>
          <w:iCs/>
          <w:color w:val="999999"/>
        </w:rPr>
        <w:t>Este modelo puede adaptarse según el enfoque institucional y el contexto regional</w:t>
      </w:r>
    </w:p>
    <w:p w14:paraId="7690A474" w14:textId="77777777" w:rsidR="00FF5C42" w:rsidRPr="004035CF" w:rsidRDefault="00FF5C42" w:rsidP="008B2357">
      <w:pPr>
        <w:pStyle w:val="Ttulo1"/>
        <w:jc w:val="both"/>
        <w:rPr>
          <w:color w:val="0070C0"/>
          <w:sz w:val="24"/>
          <w:szCs w:val="24"/>
        </w:rPr>
      </w:pPr>
    </w:p>
    <w:sectPr w:rsidR="00FF5C42" w:rsidRPr="004035CF" w:rsidSect="004035CF">
      <w:pgSz w:w="16838" w:h="11906" w:orient="landscape"/>
      <w:pgMar w:top="1800" w:right="5923" w:bottom="1800" w:left="1800" w:header="708" w:footer="708"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FD5F" w14:textId="77777777" w:rsidR="002E2765" w:rsidRDefault="002E2765">
      <w:r>
        <w:separator/>
      </w:r>
    </w:p>
  </w:endnote>
  <w:endnote w:type="continuationSeparator" w:id="0">
    <w:p w14:paraId="3EEC307B" w14:textId="77777777" w:rsidR="002E2765" w:rsidRDefault="002E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8BCB" w14:textId="77777777" w:rsidR="00466204" w:rsidRPr="00B87E1C" w:rsidRDefault="00466204" w:rsidP="00466204">
    <w:pPr>
      <w:tabs>
        <w:tab w:val="left" w:pos="3390"/>
      </w:tabs>
      <w:jc w:val="center"/>
      <w:rPr>
        <w:rFonts w:ascii="Calibri" w:hAnsi="Calibri" w:cs="Calibri"/>
      </w:rPr>
    </w:pPr>
    <w:r w:rsidRPr="00B87E1C">
      <w:rPr>
        <w:rFonts w:ascii="Calibri" w:hAnsi="Calibri" w:cs="Calibri"/>
        <w:b/>
      </w:rPr>
      <w:t>Vol. 1</w:t>
    </w:r>
    <w:r>
      <w:rPr>
        <w:rFonts w:ascii="Calibri" w:hAnsi="Calibri" w:cs="Calibri"/>
        <w:b/>
      </w:rPr>
      <w:t>3</w:t>
    </w:r>
    <w:r w:rsidRPr="00B87E1C">
      <w:rPr>
        <w:rFonts w:ascii="Calibri" w:hAnsi="Calibri" w:cs="Calibri"/>
        <w:b/>
      </w:rPr>
      <w:t>, Núm. 2</w:t>
    </w:r>
    <w:r>
      <w:rPr>
        <w:rFonts w:ascii="Calibri" w:hAnsi="Calibri" w:cs="Calibri"/>
        <w:b/>
      </w:rPr>
      <w:t>5</w:t>
    </w:r>
    <w:r w:rsidRPr="00B87E1C">
      <w:rPr>
        <w:rFonts w:ascii="Calibri" w:hAnsi="Calibri" w:cs="Calibri"/>
        <w:b/>
      </w:rPr>
      <w:t xml:space="preserve">                  </w:t>
    </w:r>
    <w:proofErr w:type="gramStart"/>
    <w:r>
      <w:rPr>
        <w:rFonts w:ascii="Calibri" w:hAnsi="Calibri" w:cs="Calibri"/>
        <w:b/>
      </w:rPr>
      <w:t>Ener</w:t>
    </w:r>
    <w:r w:rsidRPr="00B87E1C">
      <w:rPr>
        <w:rFonts w:ascii="Calibri" w:hAnsi="Calibri" w:cs="Calibri"/>
        <w:b/>
      </w:rPr>
      <w:t>o</w:t>
    </w:r>
    <w:proofErr w:type="gramEnd"/>
    <w:r w:rsidRPr="00B87E1C">
      <w:rPr>
        <w:rFonts w:ascii="Calibri" w:hAnsi="Calibri" w:cs="Calibri"/>
        <w:b/>
      </w:rPr>
      <w:t xml:space="preserve"> – </w:t>
    </w:r>
    <w:r>
      <w:rPr>
        <w:rFonts w:ascii="Calibri" w:hAnsi="Calibri" w:cs="Calibri"/>
        <w:b/>
      </w:rPr>
      <w:t>Julio</w:t>
    </w:r>
    <w:r w:rsidRPr="00B87E1C">
      <w:rPr>
        <w:rFonts w:ascii="Calibri" w:hAnsi="Calibri" w:cs="Calibri"/>
        <w:b/>
      </w:rPr>
      <w:t xml:space="preserve"> 202</w:t>
    </w:r>
    <w:r>
      <w:rPr>
        <w:rFonts w:ascii="Calibri" w:hAnsi="Calibri" w:cs="Calibri"/>
        <w:b/>
      </w:rPr>
      <w:t>6</w:t>
    </w:r>
    <w:r w:rsidRPr="00B87E1C">
      <w:rPr>
        <w:rFonts w:ascii="Calibri" w:hAnsi="Calibri" w:cs="Calibri"/>
        <w:b/>
      </w:rPr>
      <w:t xml:space="preserve">                        ISSN: 2448 – 6493</w:t>
    </w:r>
  </w:p>
  <w:p w14:paraId="7690A48E" w14:textId="5389B3DF" w:rsidR="00FF5C42" w:rsidRDefault="00FF5C42" w:rsidP="004035CF">
    <w:pPr>
      <w:spacing w:before="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D6EA" w14:textId="77777777" w:rsidR="002E2765" w:rsidRDefault="002E2765">
      <w:r>
        <w:separator/>
      </w:r>
    </w:p>
  </w:footnote>
  <w:footnote w:type="continuationSeparator" w:id="0">
    <w:p w14:paraId="401F3D3A" w14:textId="77777777" w:rsidR="002E2765" w:rsidRDefault="002E2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572183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5BF5566"/>
    <w:multiLevelType w:val="multilevel"/>
    <w:tmpl w:val="C88ACB1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35360776">
    <w:abstractNumId w:val="1"/>
    <w:lvlOverride w:ilvl="0">
      <w:startOverride w:val="1"/>
    </w:lvlOverride>
  </w:num>
  <w:num w:numId="2" w16cid:durableId="60739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C42"/>
    <w:rsid w:val="0006033C"/>
    <w:rsid w:val="002A3D77"/>
    <w:rsid w:val="002E2765"/>
    <w:rsid w:val="00316E1C"/>
    <w:rsid w:val="003E10C2"/>
    <w:rsid w:val="003F7238"/>
    <w:rsid w:val="004035CF"/>
    <w:rsid w:val="00466204"/>
    <w:rsid w:val="00680EE3"/>
    <w:rsid w:val="008B2357"/>
    <w:rsid w:val="00AB3D2D"/>
    <w:rsid w:val="00B42043"/>
    <w:rsid w:val="00C07C81"/>
    <w:rsid w:val="00C62324"/>
    <w:rsid w:val="00DB1911"/>
    <w:rsid w:val="00E35FF3"/>
    <w:rsid w:val="00EE74B9"/>
    <w:rsid w:val="00FF5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A2BD"/>
  <w15:docId w15:val="{7FBFB933-C511-4F2A-872A-0C1E7D07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link w:val="Ttulo1Car"/>
    <w:qFormat/>
    <w:pPr>
      <w:spacing w:before="400" w:after="200"/>
      <w:outlineLvl w:val="0"/>
    </w:pPr>
    <w:rPr>
      <w:b/>
      <w:bCs/>
      <w:color w:val="1F2D6E"/>
      <w:sz w:val="26"/>
      <w:szCs w:val="26"/>
    </w:rPr>
  </w:style>
  <w:style w:type="paragraph" w:styleId="Ttulo2">
    <w:name w:val="heading 2"/>
    <w:link w:val="Ttulo2Car"/>
    <w:qFormat/>
    <w:pPr>
      <w:spacing w:before="300" w:after="160"/>
      <w:outlineLvl w:val="1"/>
    </w:pPr>
    <w:rPr>
      <w:b/>
      <w:bCs/>
      <w:color w:val="1F2D6E"/>
    </w:rPr>
  </w:style>
  <w:style w:type="paragraph" w:styleId="Ttulo3">
    <w:name w:val="heading 3"/>
    <w:link w:val="Ttulo3Car"/>
    <w:qFormat/>
    <w:pPr>
      <w:outlineLvl w:val="2"/>
    </w:pPr>
    <w:rPr>
      <w:color w:val="1F4D78"/>
    </w:rPr>
  </w:style>
  <w:style w:type="paragraph" w:styleId="Ttulo4">
    <w:name w:val="heading 4"/>
    <w:link w:val="Ttulo4Car"/>
    <w:qFormat/>
    <w:pPr>
      <w:outlineLvl w:val="3"/>
    </w:pPr>
    <w:rPr>
      <w:i/>
      <w:iCs/>
      <w:color w:val="2E74B5"/>
    </w:rPr>
  </w:style>
  <w:style w:type="paragraph" w:styleId="Ttulo5">
    <w:name w:val="heading 5"/>
    <w:link w:val="Ttulo5Car"/>
    <w:qFormat/>
    <w:pPr>
      <w:outlineLvl w:val="4"/>
    </w:pPr>
    <w:rPr>
      <w:color w:val="2E74B5"/>
    </w:rPr>
  </w:style>
  <w:style w:type="paragraph" w:styleId="Ttulo6">
    <w:name w:val="heading 6"/>
    <w:link w:val="Ttulo6Car"/>
    <w:qFormat/>
    <w:pPr>
      <w:outlineLvl w:val="5"/>
    </w:pPr>
    <w:rPr>
      <w:color w:val="1F4D78"/>
    </w:rPr>
  </w:style>
  <w:style w:type="paragraph" w:styleId="Ttulo7">
    <w:name w:val="heading 7"/>
    <w:basedOn w:val="Normal"/>
    <w:next w:val="Normal"/>
    <w:link w:val="Ttulo7Car"/>
    <w:uiPriority w:val="9"/>
    <w:unhideWhenUsed/>
    <w:qFormat/>
    <w:pPr>
      <w:keepNext/>
      <w:keepLines/>
      <w:spacing w:before="40"/>
      <w:outlineLvl w:val="6"/>
    </w:pPr>
    <w:rPr>
      <w:rFonts w:ascii="Arial" w:eastAsia="Arial" w:hAnsi="Arial" w:cs="Arial"/>
      <w:color w:val="595959" w:themeColor="text1" w:themeTint="A6"/>
    </w:rPr>
  </w:style>
  <w:style w:type="paragraph" w:styleId="Ttulo8">
    <w:name w:val="heading 8"/>
    <w:basedOn w:val="Normal"/>
    <w:next w:val="Normal"/>
    <w:link w:val="Ttulo8Car"/>
    <w:uiPriority w:val="9"/>
    <w:unhideWhenUsed/>
    <w:qFormat/>
    <w:pPr>
      <w:keepNext/>
      <w:keepLines/>
      <w:outlineLvl w:val="7"/>
    </w:pPr>
    <w:rPr>
      <w:rFonts w:ascii="Arial" w:eastAsia="Arial" w:hAnsi="Arial" w:cs="Arial"/>
      <w:i/>
      <w:iCs/>
      <w:color w:val="272727" w:themeColor="text1" w:themeTint="D8"/>
    </w:rPr>
  </w:style>
  <w:style w:type="paragraph" w:styleId="Ttulo9">
    <w:name w:val="heading 9"/>
    <w:basedOn w:val="Normal"/>
    <w:next w:val="Normal"/>
    <w:link w:val="Ttulo9Car"/>
    <w:uiPriority w:val="9"/>
    <w:unhideWhenUsed/>
    <w:qFormat/>
    <w:pPr>
      <w:keepNext/>
      <w:keepLines/>
      <w:outlineLvl w:val="8"/>
    </w:pPr>
    <w:rPr>
      <w:rFonts w:ascii="Arial" w:eastAsia="Arial" w:hAnsi="Arial" w:cs="Arial"/>
      <w:i/>
      <w:iCs/>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365F91" w:themeColor="accent1" w:themeShade="BF"/>
      <w:sz w:val="40"/>
      <w:szCs w:val="40"/>
    </w:rPr>
  </w:style>
  <w:style w:type="character" w:customStyle="1" w:styleId="Ttulo2Car">
    <w:name w:val="Título 2 Car"/>
    <w:basedOn w:val="Fuentedeprrafopredeter"/>
    <w:link w:val="Ttulo2"/>
    <w:uiPriority w:val="9"/>
    <w:rPr>
      <w:rFonts w:ascii="Arial" w:eastAsia="Arial" w:hAnsi="Arial" w:cs="Arial"/>
      <w:color w:val="365F91"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365F91"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365F91" w:themeColor="accent1" w:themeShade="BF"/>
    </w:rPr>
  </w:style>
  <w:style w:type="character" w:customStyle="1" w:styleId="Ttulo5Car">
    <w:name w:val="Título 5 Car"/>
    <w:basedOn w:val="Fuentedeprrafopredeter"/>
    <w:link w:val="Ttulo5"/>
    <w:uiPriority w:val="9"/>
    <w:rPr>
      <w:rFonts w:ascii="Arial" w:eastAsia="Arial" w:hAnsi="Arial" w:cs="Arial"/>
      <w:color w:val="365F91"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365F91" w:themeColor="accent1" w:themeShade="BF"/>
    </w:rPr>
  </w:style>
  <w:style w:type="paragraph" w:styleId="Citadestacada">
    <w:name w:val="Intense Quote"/>
    <w:basedOn w:val="Normal"/>
    <w:next w:val="Normal"/>
    <w:link w:val="Citadestacada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paragraph" w:styleId="Sinespaciado">
    <w:name w:val="No Spacing"/>
    <w:basedOn w:val="Normal"/>
    <w:uiPriority w:val="1"/>
    <w:qFormat/>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paragraph" w:styleId="Encabezado">
    <w:name w:val="header"/>
    <w:basedOn w:val="Normal"/>
    <w:link w:val="EncabezadoCar"/>
    <w:uiPriority w:val="99"/>
    <w:unhideWhenUsed/>
    <w:pPr>
      <w:tabs>
        <w:tab w:val="center" w:pos="4844"/>
        <w:tab w:val="right" w:pos="9689"/>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844"/>
        <w:tab w:val="right" w:pos="9689"/>
      </w:tabs>
    </w:pPr>
  </w:style>
  <w:style w:type="character" w:customStyle="1" w:styleId="PiedepginaCar">
    <w:name w:val="Pie de página Car"/>
    <w:basedOn w:val="Fuentedeprrafopredeter"/>
    <w:link w:val="Piedepgina"/>
    <w:uiPriority w:val="99"/>
  </w:style>
  <w:style w:type="paragraph" w:styleId="Descripcin">
    <w:name w:val="caption"/>
    <w:basedOn w:val="Normal"/>
    <w:next w:val="Normal"/>
    <w:uiPriority w:val="35"/>
    <w:unhideWhenUsed/>
    <w:qFormat/>
    <w:pPr>
      <w:spacing w:after="200"/>
    </w:pPr>
    <w:rPr>
      <w:i/>
      <w:iCs/>
      <w:color w:val="1F497D" w:themeColor="text2"/>
      <w:sz w:val="18"/>
      <w:szCs w:val="18"/>
    </w:rPr>
  </w:style>
  <w:style w:type="paragraph" w:styleId="Textonotaalfinal">
    <w:name w:val="endnote text"/>
    <w:basedOn w:val="Normal"/>
    <w:link w:val="TextonotaalfinalCar"/>
    <w:uiPriority w:val="99"/>
    <w:semiHidden/>
    <w:unhideWhenUsed/>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800080" w:themeColor="followedHyperlink"/>
      <w:u w:val="single"/>
    </w:rPr>
  </w:style>
  <w:style w:type="paragraph" w:styleId="TDC1">
    <w:name w:val="toc 1"/>
    <w:basedOn w:val="Normal"/>
    <w:next w:val="Normal"/>
    <w:uiPriority w:val="39"/>
    <w:unhideWhenUsed/>
    <w:pPr>
      <w:spacing w:after="100"/>
    </w:pPr>
  </w:style>
  <w:style w:type="paragraph" w:styleId="TDC2">
    <w:name w:val="toc 2"/>
    <w:basedOn w:val="Normal"/>
    <w:next w:val="Normal"/>
    <w:uiPriority w:val="39"/>
    <w:unhideWhenUsed/>
    <w:pPr>
      <w:spacing w:after="100"/>
      <w:ind w:left="220"/>
    </w:pPr>
  </w:style>
  <w:style w:type="paragraph" w:styleId="TDC3">
    <w:name w:val="toc 3"/>
    <w:basedOn w:val="Normal"/>
    <w:next w:val="Normal"/>
    <w:uiPriority w:val="39"/>
    <w:unhideWhenUsed/>
    <w:pPr>
      <w:spacing w:after="100"/>
      <w:ind w:left="440"/>
    </w:p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character" w:styleId="Textodelmarcadordeposicin">
    <w:name w:val="Placeholder Text"/>
    <w:basedOn w:val="Fuentedeprrafopredeter"/>
    <w:uiPriority w:val="99"/>
    <w:semiHidden/>
    <w:rPr>
      <w:color w:val="666666"/>
    </w:r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paragraph" w:styleId="Ttulo">
    <w:name w:val="Title"/>
    <w:link w:val="TtuloCar"/>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paragraph" w:customStyle="1" w:styleId="SourceCode">
    <w:name w:val="Source Code"/>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4035CF"/>
    <w:rPr>
      <w:sz w:val="16"/>
      <w:szCs w:val="16"/>
    </w:rPr>
  </w:style>
  <w:style w:type="paragraph" w:styleId="Textocomentario">
    <w:name w:val="annotation text"/>
    <w:basedOn w:val="Normal"/>
    <w:link w:val="TextocomentarioCar"/>
    <w:uiPriority w:val="99"/>
    <w:semiHidden/>
    <w:unhideWhenUsed/>
    <w:rsid w:val="004035CF"/>
    <w:rPr>
      <w:sz w:val="20"/>
      <w:szCs w:val="20"/>
    </w:rPr>
  </w:style>
  <w:style w:type="character" w:customStyle="1" w:styleId="TextocomentarioCar">
    <w:name w:val="Texto comentario Car"/>
    <w:basedOn w:val="Fuentedeprrafopredeter"/>
    <w:link w:val="Textocomentario"/>
    <w:uiPriority w:val="99"/>
    <w:semiHidden/>
    <w:rsid w:val="004035CF"/>
    <w:rPr>
      <w:sz w:val="20"/>
      <w:szCs w:val="20"/>
    </w:rPr>
  </w:style>
  <w:style w:type="paragraph" w:styleId="Asuntodelcomentario">
    <w:name w:val="annotation subject"/>
    <w:basedOn w:val="Textocomentario"/>
    <w:next w:val="Textocomentario"/>
    <w:link w:val="AsuntodelcomentarioCar"/>
    <w:uiPriority w:val="99"/>
    <w:semiHidden/>
    <w:unhideWhenUsed/>
    <w:rsid w:val="004035CF"/>
    <w:rPr>
      <w:b/>
      <w:bCs/>
    </w:rPr>
  </w:style>
  <w:style w:type="character" w:customStyle="1" w:styleId="AsuntodelcomentarioCar">
    <w:name w:val="Asunto del comentario Car"/>
    <w:basedOn w:val="TextocomentarioCar"/>
    <w:link w:val="Asuntodelcomentario"/>
    <w:uiPriority w:val="99"/>
    <w:semiHidden/>
    <w:rsid w:val="004035CF"/>
    <w:rPr>
      <w:b/>
      <w:bCs/>
      <w:sz w:val="20"/>
      <w:szCs w:val="20"/>
    </w:rPr>
  </w:style>
  <w:style w:type="character" w:styleId="Mencinsinresolver">
    <w:name w:val="Unresolved Mention"/>
    <w:basedOn w:val="Fuentedeprrafopredeter"/>
    <w:uiPriority w:val="99"/>
    <w:semiHidden/>
    <w:unhideWhenUsed/>
    <w:rsid w:val="003F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rge.pinedo@uacj.mx" TargetMode="External"/><Relationship Id="rId5" Type="http://schemas.openxmlformats.org/officeDocument/2006/relationships/footnotes" Target="footnotes.xml"/><Relationship Id="rId10" Type="http://schemas.openxmlformats.org/officeDocument/2006/relationships/hyperlink" Target="https://orcid.org/0000-0003-4455-3072" TargetMode="External"/><Relationship Id="rId4" Type="http://schemas.openxmlformats.org/officeDocument/2006/relationships/webSettings" Target="webSettings.xml"/><Relationship Id="rId9" Type="http://schemas.openxmlformats.org/officeDocument/2006/relationships/hyperlink" Target="mailto:rosariovaladez@hotmail.com"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5732</Words>
  <Characters>31531</Characters>
  <Application>Microsoft Office Word</Application>
  <DocSecurity>0</DocSecurity>
  <Lines>262</Lines>
  <Paragraphs>74</Paragraphs>
  <ScaleCrop>false</ScaleCrop>
  <Company/>
  <LinksUpToDate>false</LinksUpToDate>
  <CharactersWithSpaces>37189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Francisco Santillan Campos</cp:lastModifiedBy>
  <cp:revision>12</cp:revision>
  <dcterms:created xsi:type="dcterms:W3CDTF">2026-02-24T18:34:00Z</dcterms:created>
  <dcterms:modified xsi:type="dcterms:W3CDTF">2026-07-06T21:09:00Z</dcterms:modified>
</cp:coreProperties>
</file>